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90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18"/>
      </w:tblGrid>
      <w:tr w:rsidR="00694556" w:rsidRPr="00DE1E7D" w:rsidTr="008E757A">
        <w:trPr>
          <w:jc w:val="center"/>
        </w:trPr>
        <w:tc>
          <w:tcPr>
            <w:tcW w:w="9018" w:type="dxa"/>
          </w:tcPr>
          <w:tbl>
            <w:tblPr>
              <w:bidiVisual/>
              <w:tblW w:w="0" w:type="auto"/>
              <w:jc w:val="center"/>
              <w:tblLook w:val="04A0" w:firstRow="1" w:lastRow="0" w:firstColumn="1" w:lastColumn="0" w:noHBand="0" w:noVBand="1"/>
            </w:tblPr>
            <w:tblGrid>
              <w:gridCol w:w="1592"/>
              <w:gridCol w:w="7128"/>
            </w:tblGrid>
            <w:tr w:rsidR="00670289" w:rsidTr="008E757A">
              <w:trPr>
                <w:trHeight w:val="337"/>
                <w:jc w:val="center"/>
              </w:trPr>
              <w:tc>
                <w:tcPr>
                  <w:tcW w:w="1592" w:type="dxa"/>
                </w:tcPr>
                <w:p w:rsidR="00670289" w:rsidRDefault="0094424E" w:rsidP="00161DB2">
                  <w:pPr>
                    <w:suppressLineNumbers/>
                    <w:rPr>
                      <w:noProof w:val="0"/>
                    </w:rPr>
                  </w:pPr>
                  <w:bookmarkStart w:id="0" w:name="_GoBack"/>
                  <w:bookmarkEnd w:id="0"/>
                  <w:r>
                    <w:rPr>
                      <w:rtl/>
                    </w:rPr>
                    <w:t xml:space="preserve"> </w:t>
                  </w:r>
                </w:p>
              </w:tc>
              <w:tc>
                <w:tcPr>
                  <w:tcW w:w="7128" w:type="dxa"/>
                </w:tcPr>
                <w:p w:rsidR="00670289" w:rsidRDefault="00670289" w:rsidP="00670289">
                  <w:pPr>
                    <w:pStyle w:val="a5"/>
                    <w:jc w:val="right"/>
                  </w:pPr>
                </w:p>
              </w:tc>
            </w:tr>
            <w:tr w:rsidR="00670289" w:rsidTr="008E757A">
              <w:trPr>
                <w:trHeight w:val="337"/>
                <w:jc w:val="center"/>
              </w:trPr>
              <w:tc>
                <w:tcPr>
                  <w:tcW w:w="1592" w:type="dxa"/>
                </w:tcPr>
                <w:p w:rsidR="00670289" w:rsidRDefault="00670289" w:rsidP="00670289">
                  <w:pPr>
                    <w:pStyle w:val="a5"/>
                    <w:bidi w:val="0"/>
                    <w:jc w:val="both"/>
                    <w:rPr>
                      <w:rtl/>
                    </w:rPr>
                  </w:pPr>
                </w:p>
              </w:tc>
              <w:tc>
                <w:tcPr>
                  <w:tcW w:w="7128" w:type="dxa"/>
                  <w:vAlign w:val="center"/>
                </w:tcPr>
                <w:p w:rsidR="00670289" w:rsidRDefault="00670289" w:rsidP="008E757A">
                  <w:pPr>
                    <w:pStyle w:val="a5"/>
                    <w:jc w:val="right"/>
                    <w:rPr>
                      <w:b/>
                      <w:bCs/>
                    </w:rPr>
                  </w:pPr>
                </w:p>
              </w:tc>
            </w:tr>
            <w:tr w:rsidR="00670289" w:rsidTr="00670289">
              <w:trPr>
                <w:trHeight w:val="337"/>
                <w:jc w:val="center"/>
              </w:trPr>
              <w:tc>
                <w:tcPr>
                  <w:tcW w:w="1592" w:type="dxa"/>
                </w:tcPr>
                <w:p w:rsidR="00670289" w:rsidRDefault="00670289" w:rsidP="00670289">
                  <w:pPr>
                    <w:pStyle w:val="a5"/>
                    <w:bidi w:val="0"/>
                    <w:jc w:val="both"/>
                    <w:rPr>
                      <w:rtl/>
                    </w:rPr>
                  </w:pPr>
                </w:p>
              </w:tc>
              <w:tc>
                <w:tcPr>
                  <w:tcW w:w="7128" w:type="dxa"/>
                </w:tcPr>
                <w:p w:rsidR="00670289" w:rsidRDefault="00670289" w:rsidP="00670289">
                  <w:pPr>
                    <w:pStyle w:val="a5"/>
                    <w:jc w:val="right"/>
                  </w:pPr>
                </w:p>
              </w:tc>
            </w:tr>
          </w:tbl>
          <w:tbl>
            <w:tblPr>
              <w:tblStyle w:val="ac"/>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670289" w:rsidTr="00670289">
              <w:trPr>
                <w:gridBefore w:val="1"/>
                <w:gridAfter w:val="1"/>
                <w:wBefore w:w="28" w:type="dxa"/>
                <w:wAfter w:w="56" w:type="dxa"/>
              </w:trPr>
              <w:tc>
                <w:tcPr>
                  <w:tcW w:w="8718" w:type="dxa"/>
                  <w:gridSpan w:val="2"/>
                  <w:hideMark/>
                </w:tcPr>
                <w:p w:rsidR="00670289" w:rsidRDefault="008E757A" w:rsidP="00670289">
                  <w:pPr>
                    <w:rPr>
                      <w:rFonts w:ascii="David" w:hAnsi="David"/>
                      <w:b/>
                      <w:bCs/>
                      <w:rtl/>
                    </w:rPr>
                  </w:pPr>
                  <w:r>
                    <w:rPr>
                      <w:rFonts w:ascii="David" w:hAnsi="David" w:hint="cs"/>
                      <w:b/>
                      <w:bCs/>
                      <w:rtl/>
                    </w:rPr>
                    <w:t>ב</w:t>
                  </w:r>
                  <w:r w:rsidR="00670289">
                    <w:rPr>
                      <w:rFonts w:ascii="David" w:hAnsi="David" w:hint="cs"/>
                      <w:b/>
                      <w:bCs/>
                      <w:rtl/>
                    </w:rPr>
                    <w:t>פני כבוד ה</w:t>
                  </w:r>
                  <w:sdt>
                    <w:sdtPr>
                      <w:rPr>
                        <w:rtl/>
                      </w:rPr>
                      <w:alias w:val="165"/>
                      <w:tag w:val="165"/>
                      <w:id w:val="319463490"/>
                      <w:text w:multiLine="1"/>
                    </w:sdtPr>
                    <w:sdtEndPr/>
                    <w:sdtContent>
                      <w:r w:rsidR="00670289">
                        <w:rPr>
                          <w:rFonts w:ascii="David" w:hAnsi="David"/>
                          <w:b/>
                          <w:bCs/>
                          <w:rtl/>
                        </w:rPr>
                        <w:t>שופטת - נשיאה רות לורך, שופטת דבורה עטר, שופט, סגן הנשיאה עמי קובו</w:t>
                      </w:r>
                    </w:sdtContent>
                  </w:sdt>
                  <w:r w:rsidR="00670289">
                    <w:rPr>
                      <w:rStyle w:val="TimesNewRomanTimesNewRoman"/>
                      <w:rFonts w:ascii="David" w:hAnsi="David"/>
                      <w:rtl/>
                    </w:rPr>
                    <w:t xml:space="preserve"> </w:t>
                  </w:r>
                </w:p>
              </w:tc>
            </w:tr>
            <w:tr w:rsidR="00670289" w:rsidTr="00670289">
              <w:trPr>
                <w:cantSplit/>
                <w:trHeight w:val="724"/>
              </w:trPr>
              <w:tc>
                <w:tcPr>
                  <w:tcW w:w="2880" w:type="dxa"/>
                  <w:gridSpan w:val="2"/>
                </w:tcPr>
                <w:p w:rsidR="00670289" w:rsidRDefault="00670289" w:rsidP="00670289">
                  <w:pPr>
                    <w:ind w:left="26"/>
                    <w:rPr>
                      <w:rFonts w:ascii="David" w:hAnsi="David"/>
                      <w:b/>
                      <w:bCs/>
                      <w:rtl/>
                    </w:rPr>
                  </w:pPr>
                </w:p>
                <w:p w:rsidR="00670289" w:rsidRDefault="00670289" w:rsidP="00670289">
                  <w:pPr>
                    <w:ind w:left="26"/>
                    <w:rPr>
                      <w:rFonts w:ascii="David" w:hAnsi="David"/>
                      <w:b/>
                      <w:bCs/>
                      <w:rtl/>
                    </w:rPr>
                  </w:pPr>
                  <w:r>
                    <w:rPr>
                      <w:rFonts w:ascii="David" w:hAnsi="David" w:hint="cs"/>
                      <w:b/>
                      <w:bCs/>
                      <w:rtl/>
                    </w:rPr>
                    <w:t>ה</w:t>
                  </w:r>
                  <w:sdt>
                    <w:sdtPr>
                      <w:rPr>
                        <w:b/>
                        <w:bCs/>
                        <w:rtl/>
                      </w:rPr>
                      <w:alias w:val="1264"/>
                      <w:tag w:val="1264"/>
                      <w:id w:val="-678505577"/>
                      <w:placeholder>
                        <w:docPart w:val="9BED018779964C00BA3DEFCA9B37AFB2"/>
                      </w:placeholder>
                      <w:text w:multiLine="1"/>
                    </w:sdtPr>
                    <w:sdtEndPr/>
                    <w:sdtContent>
                      <w:r>
                        <w:rPr>
                          <w:rFonts w:ascii="David" w:hAnsi="David"/>
                          <w:b/>
                          <w:bCs/>
                          <w:rtl/>
                        </w:rPr>
                        <w:t>מאשימה</w:t>
                      </w:r>
                    </w:sdtContent>
                  </w:sdt>
                </w:p>
              </w:tc>
              <w:tc>
                <w:tcPr>
                  <w:tcW w:w="5922" w:type="dxa"/>
                  <w:gridSpan w:val="2"/>
                </w:tcPr>
                <w:p w:rsidR="00670289" w:rsidRDefault="00670289" w:rsidP="00670289">
                  <w:pPr>
                    <w:rPr>
                      <w:rFonts w:ascii="David" w:hAnsi="David"/>
                      <w:rtl/>
                    </w:rPr>
                  </w:pPr>
                </w:p>
                <w:p w:rsidR="00670289" w:rsidRDefault="00670289" w:rsidP="00670289">
                  <w:pPr>
                    <w:rPr>
                      <w:rFonts w:ascii="David" w:hAnsi="David"/>
                      <w:b/>
                      <w:bCs/>
                      <w:rtl/>
                    </w:rPr>
                  </w:pPr>
                  <w:r>
                    <w:rPr>
                      <w:rFonts w:ascii="David" w:hAnsi="David" w:hint="cs"/>
                      <w:rtl/>
                    </w:rPr>
                    <w:t xml:space="preserve"> </w:t>
                  </w:r>
                  <w:sdt>
                    <w:sdtPr>
                      <w:rPr>
                        <w:rtl/>
                      </w:rPr>
                      <w:alias w:val="825"/>
                      <w:tag w:val="825"/>
                      <w:id w:val="-2140873446"/>
                      <w:text w:multiLine="1"/>
                    </w:sdtPr>
                    <w:sdtEndPr/>
                    <w:sdtContent>
                      <w:r>
                        <w:rPr>
                          <w:rFonts w:ascii="David" w:hAnsi="David"/>
                          <w:b/>
                          <w:bCs/>
                          <w:rtl/>
                        </w:rPr>
                        <w:t>מדינת ישראל</w:t>
                      </w:r>
                    </w:sdtContent>
                  </w:sdt>
                  <w:r>
                    <w:rPr>
                      <w:rFonts w:hint="cs"/>
                      <w:b/>
                      <w:bCs/>
                      <w:rtl/>
                    </w:rPr>
                    <w:t xml:space="preserve"> </w:t>
                  </w:r>
                  <w:sdt>
                    <w:sdtPr>
                      <w:rPr>
                        <w:rFonts w:cs="Times New Roman"/>
                        <w:b/>
                        <w:bCs/>
                        <w:rtl/>
                      </w:rPr>
                      <w:alias w:val="2686"/>
                      <w:tag w:val="2686"/>
                      <w:id w:val="-38594229"/>
                      <w:placeholder>
                        <w:docPart w:val="4E45F84E32494DF6ADAE98447B3A82C8"/>
                      </w:placeholder>
                      <w:text w:multiLine="1"/>
                    </w:sdtPr>
                    <w:sdtEndPr/>
                    <w:sdtContent/>
                  </w:sdt>
                  <w:r>
                    <w:rPr>
                      <w:rFonts w:hint="cs"/>
                      <w:b/>
                      <w:bCs/>
                      <w:rtl/>
                    </w:rPr>
                    <w:t xml:space="preserve"> </w:t>
                  </w:r>
                  <w:sdt>
                    <w:sdtPr>
                      <w:rPr>
                        <w:rFonts w:cs="Times New Roman"/>
                        <w:b/>
                        <w:bCs/>
                        <w:rtl/>
                      </w:rPr>
                      <w:alias w:val="2688"/>
                      <w:tag w:val="2688"/>
                      <w:id w:val="-1957249425"/>
                      <w:placeholder>
                        <w:docPart w:val="618A93D798204D18B1D8EDFE2F626820"/>
                      </w:placeholder>
                      <w:text w:multiLine="1"/>
                    </w:sdtPr>
                    <w:sdtEndPr/>
                    <w:sdtContent/>
                  </w:sdt>
                </w:p>
              </w:tc>
            </w:tr>
            <w:tr w:rsidR="00670289" w:rsidTr="00670289">
              <w:tc>
                <w:tcPr>
                  <w:tcW w:w="8802" w:type="dxa"/>
                  <w:gridSpan w:val="4"/>
                  <w:vAlign w:val="center"/>
                </w:tcPr>
                <w:p w:rsidR="00670289" w:rsidRDefault="00670289" w:rsidP="00670289">
                  <w:pPr>
                    <w:jc w:val="center"/>
                    <w:rPr>
                      <w:rFonts w:ascii="David" w:hAnsi="David"/>
                      <w:b/>
                      <w:bCs/>
                      <w:rtl/>
                    </w:rPr>
                  </w:pPr>
                </w:p>
                <w:p w:rsidR="00670289" w:rsidRDefault="00670289" w:rsidP="00670289">
                  <w:pPr>
                    <w:jc w:val="center"/>
                    <w:rPr>
                      <w:rFonts w:ascii="David" w:hAnsi="David"/>
                      <w:b/>
                      <w:bCs/>
                      <w:rtl/>
                    </w:rPr>
                  </w:pPr>
                  <w:r>
                    <w:rPr>
                      <w:rFonts w:ascii="David" w:hAnsi="David" w:hint="cs"/>
                      <w:b/>
                      <w:bCs/>
                      <w:rtl/>
                    </w:rPr>
                    <w:t>נגד</w:t>
                  </w:r>
                </w:p>
                <w:p w:rsidR="00670289" w:rsidRDefault="00670289" w:rsidP="00670289">
                  <w:pPr>
                    <w:rPr>
                      <w:rFonts w:ascii="David" w:hAnsi="David"/>
                      <w:b/>
                      <w:bCs/>
                      <w:rtl/>
                    </w:rPr>
                  </w:pPr>
                </w:p>
              </w:tc>
            </w:tr>
            <w:tr w:rsidR="00670289" w:rsidTr="00670289">
              <w:tc>
                <w:tcPr>
                  <w:tcW w:w="2880" w:type="dxa"/>
                  <w:gridSpan w:val="2"/>
                  <w:hideMark/>
                </w:tcPr>
                <w:p w:rsidR="00670289" w:rsidRDefault="00670289" w:rsidP="00670289">
                  <w:pPr>
                    <w:ind w:left="26"/>
                    <w:rPr>
                      <w:rFonts w:ascii="David" w:hAnsi="David"/>
                      <w:b/>
                      <w:bCs/>
                    </w:rPr>
                  </w:pPr>
                  <w:r>
                    <w:rPr>
                      <w:rFonts w:ascii="David" w:hAnsi="David" w:hint="cs"/>
                      <w:b/>
                      <w:bCs/>
                      <w:rtl/>
                    </w:rPr>
                    <w:t>ה</w:t>
                  </w:r>
                  <w:sdt>
                    <w:sdtPr>
                      <w:rPr>
                        <w:b/>
                        <w:bCs/>
                        <w:rtl/>
                      </w:rPr>
                      <w:alias w:val="1265"/>
                      <w:tag w:val="1265"/>
                      <w:id w:val="-275248279"/>
                      <w:placeholder>
                        <w:docPart w:val="85AF9818C0864309A998BFD0B1CAD9B2"/>
                      </w:placeholder>
                      <w:text w:multiLine="1"/>
                    </w:sdtPr>
                    <w:sdtEndPr/>
                    <w:sdtContent>
                      <w:r>
                        <w:rPr>
                          <w:rFonts w:ascii="David" w:hAnsi="David"/>
                          <w:b/>
                          <w:bCs/>
                          <w:rtl/>
                        </w:rPr>
                        <w:t>נאשם</w:t>
                      </w:r>
                    </w:sdtContent>
                  </w:sdt>
                </w:p>
              </w:tc>
              <w:tc>
                <w:tcPr>
                  <w:tcW w:w="5922" w:type="dxa"/>
                  <w:gridSpan w:val="2"/>
                </w:tcPr>
                <w:p w:rsidR="00670289" w:rsidRDefault="00670289" w:rsidP="008E757A">
                  <w:pPr>
                    <w:rPr>
                      <w:rFonts w:ascii="David" w:hAnsi="David"/>
                      <w:b/>
                      <w:bCs/>
                      <w:rtl/>
                    </w:rPr>
                  </w:pPr>
                  <w:r>
                    <w:rPr>
                      <w:rFonts w:ascii="David" w:hAnsi="David" w:hint="cs"/>
                      <w:rtl/>
                    </w:rPr>
                    <w:t xml:space="preserve"> </w:t>
                  </w:r>
                  <w:r w:rsidR="008E757A">
                    <w:rPr>
                      <w:rFonts w:ascii="David" w:hAnsi="David" w:hint="cs"/>
                      <w:b/>
                      <w:bCs/>
                      <w:rtl/>
                    </w:rPr>
                    <w:t>פלוני</w:t>
                  </w:r>
                  <w:r>
                    <w:rPr>
                      <w:rFonts w:hint="cs"/>
                      <w:b/>
                      <w:bCs/>
                      <w:rtl/>
                    </w:rPr>
                    <w:t xml:space="preserve"> </w:t>
                  </w:r>
                </w:p>
                <w:p w:rsidR="00670289" w:rsidRDefault="00670289" w:rsidP="00670289">
                  <w:pPr>
                    <w:rPr>
                      <w:rFonts w:ascii="David" w:hAnsi="David"/>
                      <w:b/>
                      <w:bCs/>
                      <w:rtl/>
                    </w:rPr>
                  </w:pPr>
                </w:p>
              </w:tc>
            </w:tr>
          </w:tbl>
          <w:p w:rsidR="00670289" w:rsidRDefault="00670289" w:rsidP="00670289">
            <w:pPr>
              <w:spacing w:line="360" w:lineRule="auto"/>
              <w:jc w:val="both"/>
              <w:rPr>
                <w:rFonts w:ascii="David" w:hAnsi="David"/>
                <w:rtl/>
              </w:rPr>
            </w:pPr>
            <w:r>
              <w:rPr>
                <w:rFonts w:hint="cs"/>
                <w:rtl/>
              </w:rPr>
              <w:t>&lt;#2#&gt;</w:t>
            </w:r>
          </w:p>
          <w:p w:rsidR="00670289" w:rsidRDefault="00670289" w:rsidP="00670289">
            <w:pPr>
              <w:pStyle w:val="12"/>
              <w:rPr>
                <w:rFonts w:ascii="David" w:hAnsi="David"/>
                <w:rtl/>
              </w:rPr>
            </w:pPr>
            <w:r>
              <w:rPr>
                <w:rFonts w:ascii="David" w:hAnsi="David"/>
                <w:rtl/>
              </w:rPr>
              <w:t>נוכחים:</w:t>
            </w:r>
          </w:p>
          <w:p w:rsidR="00670289" w:rsidRDefault="00670289" w:rsidP="00670289">
            <w:pPr>
              <w:pStyle w:val="12"/>
              <w:rPr>
                <w:rFonts w:ascii="David" w:hAnsi="David"/>
                <w:b w:val="0"/>
                <w:bCs w:val="0"/>
                <w:u w:val="none"/>
                <w:rtl/>
              </w:rPr>
            </w:pPr>
            <w:r>
              <w:rPr>
                <w:rFonts w:ascii="David" w:hAnsi="David"/>
                <w:b w:val="0"/>
                <w:bCs w:val="0"/>
                <w:u w:val="none"/>
                <w:rtl/>
              </w:rPr>
              <w:t xml:space="preserve">ב"כ המאשימה עו"ד דניאל איקן </w:t>
            </w:r>
          </w:p>
          <w:p w:rsidR="00670289" w:rsidRDefault="00670289" w:rsidP="00670289">
            <w:pPr>
              <w:pStyle w:val="12"/>
              <w:rPr>
                <w:rFonts w:ascii="David" w:hAnsi="David"/>
                <w:b w:val="0"/>
                <w:bCs w:val="0"/>
                <w:u w:val="none"/>
                <w:rtl/>
              </w:rPr>
            </w:pPr>
            <w:r>
              <w:rPr>
                <w:rFonts w:ascii="David" w:hAnsi="David"/>
                <w:b w:val="0"/>
                <w:bCs w:val="0"/>
                <w:u w:val="none"/>
                <w:rtl/>
              </w:rPr>
              <w:t xml:space="preserve">הנאשם וב"כ עו"ד שלומציון גבאי מנדלמן </w:t>
            </w:r>
          </w:p>
          <w:p w:rsidR="00670289" w:rsidRDefault="00670289" w:rsidP="00670289">
            <w:pPr>
              <w:pStyle w:val="12"/>
              <w:rPr>
                <w:rFonts w:ascii="David" w:hAnsi="David"/>
                <w:b w:val="0"/>
                <w:bCs w:val="0"/>
                <w:u w:val="none"/>
                <w:rtl/>
              </w:rPr>
            </w:pPr>
            <w:r>
              <w:rPr>
                <w:rFonts w:ascii="David" w:hAnsi="David"/>
                <w:b w:val="0"/>
                <w:bCs w:val="0"/>
                <w:u w:val="none"/>
                <w:rtl/>
              </w:rPr>
              <w:t xml:space="preserve">ב"כ נפגעות העבירה עו"ד תמי קלנברג, עו"ד קרן מכלוף טוליס, עו"ד תמי נותב פייל מהסנגוריה הציבורית </w:t>
            </w:r>
          </w:p>
          <w:p w:rsidR="00670289" w:rsidRDefault="00670289" w:rsidP="00670289">
            <w:pPr>
              <w:pStyle w:val="12"/>
              <w:rPr>
                <w:rFonts w:ascii="David" w:hAnsi="David"/>
                <w:b w:val="0"/>
                <w:bCs w:val="0"/>
                <w:u w:val="none"/>
                <w:rtl/>
              </w:rPr>
            </w:pPr>
            <w:r>
              <w:rPr>
                <w:rFonts w:ascii="David" w:hAnsi="David"/>
                <w:b w:val="0"/>
                <w:bCs w:val="0"/>
                <w:u w:val="none"/>
                <w:rtl/>
              </w:rPr>
              <w:t>נפגעות העבירה ומשפחותיהן</w:t>
            </w:r>
          </w:p>
          <w:p w:rsidR="00670289" w:rsidRDefault="00670289" w:rsidP="00670289">
            <w:pPr>
              <w:pStyle w:val="12"/>
              <w:rPr>
                <w:rFonts w:ascii="David" w:hAnsi="David"/>
                <w:b w:val="0"/>
                <w:bCs w:val="0"/>
                <w:u w:val="none"/>
                <w:rtl/>
              </w:rPr>
            </w:pPr>
          </w:p>
          <w:p w:rsidR="001A3D5C" w:rsidRPr="001A3D5C" w:rsidRDefault="001A3D5C" w:rsidP="00670289">
            <w:pPr>
              <w:pStyle w:val="12"/>
              <w:jc w:val="center"/>
              <w:rPr>
                <w:rFonts w:ascii="David" w:hAnsi="David"/>
                <w:b w:val="0"/>
                <w:bCs w:val="0"/>
                <w:rtl/>
              </w:rPr>
            </w:pPr>
            <w:r>
              <w:rPr>
                <w:rFonts w:ascii="David" w:hAnsi="David" w:hint="cs"/>
                <w:b w:val="0"/>
                <w:bCs w:val="0"/>
                <w:rtl/>
              </w:rPr>
              <w:t>נוסח זה של גזר הדין מותר בפרסום</w:t>
            </w:r>
          </w:p>
          <w:p w:rsidR="00670289" w:rsidRPr="001A3D5C" w:rsidRDefault="00670289" w:rsidP="00670289">
            <w:pPr>
              <w:pStyle w:val="12"/>
              <w:jc w:val="center"/>
              <w:rPr>
                <w:rFonts w:ascii="David" w:hAnsi="David"/>
                <w:sz w:val="28"/>
                <w:szCs w:val="28"/>
                <w:rtl/>
              </w:rPr>
            </w:pPr>
            <w:r w:rsidRPr="001A3D5C">
              <w:rPr>
                <w:rFonts w:ascii="David" w:hAnsi="David"/>
                <w:sz w:val="28"/>
                <w:szCs w:val="28"/>
                <w:rtl/>
              </w:rPr>
              <w:t xml:space="preserve">גזר דין </w:t>
            </w:r>
          </w:p>
          <w:p w:rsidR="00670289" w:rsidRDefault="00670289" w:rsidP="00670289">
            <w:pPr>
              <w:pStyle w:val="af1"/>
              <w:rPr>
                <w:rFonts w:ascii="David" w:hAnsi="David"/>
              </w:rPr>
            </w:pPr>
            <w:r>
              <w:rPr>
                <w:rFonts w:ascii="David" w:hAnsi="David"/>
                <w:rtl/>
              </w:rPr>
              <w:t>רקע</w:t>
            </w:r>
          </w:p>
          <w:p w:rsidR="00670289" w:rsidRDefault="00670289" w:rsidP="00670289">
            <w:pPr>
              <w:pStyle w:val="a0"/>
              <w:tabs>
                <w:tab w:val="num" w:pos="1274"/>
              </w:tabs>
              <w:jc w:val="both"/>
              <w:rPr>
                <w:rtl/>
              </w:rPr>
            </w:pPr>
            <w:r>
              <w:rPr>
                <w:rFonts w:hint="cs"/>
                <w:rtl/>
              </w:rPr>
              <w:t>הנאשם, כבן 48, נותן את הדין על ריבוי מעשים מגונים שביצע בשלוש אחייניות של אשתו וכן בקטינה נוספת, בתם של חברי המשפחה, בעת שהללו היו קטינות, בנות 7 עד 16. מעשיו של הנאשם, אשר בהם הודה, השתרעו על פני כ-13 שנים, מאז היה הנאשם כבן 30 ועד לגיל 43, וכללו בעיקר נגיעות וליטופים בחזה של הקטינות מתחת לבגדים. כל זאת תוך ניצול לרעה של האמון הרב שנתנו בו הקטינות, תמימותן, ויחסי הקִרבה עמן.</w:t>
            </w:r>
          </w:p>
          <w:p w:rsidR="00670289" w:rsidRDefault="00670289" w:rsidP="00670289">
            <w:pPr>
              <w:pStyle w:val="a0"/>
              <w:tabs>
                <w:tab w:val="num" w:pos="1274"/>
              </w:tabs>
              <w:jc w:val="both"/>
            </w:pPr>
            <w:r>
              <w:rPr>
                <w:rFonts w:hint="cs"/>
                <w:rtl/>
              </w:rPr>
              <w:t>הנאשם, הורשע בהתאם להודאתו בעובדות כתב האישום המתוקן בביצוע העבירות הבאות:</w:t>
            </w:r>
            <w:r>
              <w:rPr>
                <w:rFonts w:hint="cs"/>
                <w:b/>
                <w:bCs/>
                <w:rtl/>
              </w:rPr>
              <w:t xml:space="preserve"> </w:t>
            </w:r>
          </w:p>
          <w:p w:rsidR="00670289" w:rsidRDefault="00670289" w:rsidP="00670289">
            <w:pPr>
              <w:pStyle w:val="a0"/>
              <w:numPr>
                <w:ilvl w:val="1"/>
                <w:numId w:val="2"/>
              </w:numPr>
              <w:tabs>
                <w:tab w:val="num" w:pos="1274"/>
              </w:tabs>
              <w:ind w:left="1274" w:hanging="567"/>
              <w:jc w:val="both"/>
            </w:pPr>
            <w:r>
              <w:rPr>
                <w:rFonts w:hint="cs"/>
                <w:b/>
                <w:bCs/>
                <w:rtl/>
              </w:rPr>
              <w:t>מעשה מגונה בקטינה מתחת לגיל 16 בת משפחה (ריבוי עבירות)</w:t>
            </w:r>
            <w:r>
              <w:rPr>
                <w:rFonts w:hint="cs"/>
                <w:rtl/>
              </w:rPr>
              <w:t xml:space="preserve">, לפי סעיף 351(ג)(2) בנסיבות סעיף 348(ב) יחד עם סעיף 345(ב)(1) ו-345(א)(1) לחוק העונשין, תשל"ז-1977 (להלן: </w:t>
            </w:r>
            <w:r>
              <w:rPr>
                <w:rFonts w:hint="cs"/>
                <w:b/>
                <w:bCs/>
                <w:rtl/>
              </w:rPr>
              <w:t>החוק</w:t>
            </w:r>
            <w:r>
              <w:rPr>
                <w:rFonts w:hint="cs"/>
                <w:rtl/>
              </w:rPr>
              <w:t xml:space="preserve">) – באישומים הראשון והשני; וכן </w:t>
            </w:r>
            <w:r>
              <w:rPr>
                <w:rFonts w:hint="cs"/>
                <w:b/>
                <w:bCs/>
                <w:rtl/>
              </w:rPr>
              <w:t xml:space="preserve">מעשה מגונה, </w:t>
            </w:r>
            <w:r>
              <w:rPr>
                <w:rFonts w:hint="cs"/>
                <w:rtl/>
              </w:rPr>
              <w:t xml:space="preserve">לפי סעיף 348(ג) לחוק באישום הראשון בלבד. </w:t>
            </w:r>
          </w:p>
          <w:p w:rsidR="00670289" w:rsidRDefault="00670289" w:rsidP="00670289">
            <w:pPr>
              <w:pStyle w:val="a0"/>
              <w:numPr>
                <w:ilvl w:val="1"/>
                <w:numId w:val="2"/>
              </w:numPr>
              <w:tabs>
                <w:tab w:val="num" w:pos="1274"/>
              </w:tabs>
              <w:ind w:left="1274" w:hanging="567"/>
              <w:jc w:val="both"/>
              <w:rPr>
                <w:rtl/>
              </w:rPr>
            </w:pPr>
            <w:r>
              <w:rPr>
                <w:rFonts w:hint="cs"/>
                <w:b/>
                <w:bCs/>
                <w:rtl/>
              </w:rPr>
              <w:t xml:space="preserve">מעשה מגונה בקטינה מתחת לגיל 14, </w:t>
            </w:r>
            <w:r>
              <w:rPr>
                <w:rFonts w:hint="cs"/>
                <w:rtl/>
              </w:rPr>
              <w:t xml:space="preserve">לפי סעיף 348(א) בנסיבות סעיף 345(א)(3) –באישום השלישי. </w:t>
            </w:r>
          </w:p>
          <w:p w:rsidR="00670289" w:rsidRDefault="00670289" w:rsidP="00670289">
            <w:pPr>
              <w:pStyle w:val="a0"/>
              <w:numPr>
                <w:ilvl w:val="1"/>
                <w:numId w:val="2"/>
              </w:numPr>
              <w:tabs>
                <w:tab w:val="num" w:pos="1274"/>
              </w:tabs>
              <w:ind w:left="1274" w:hanging="567"/>
              <w:jc w:val="both"/>
            </w:pPr>
            <w:r>
              <w:rPr>
                <w:rFonts w:hint="cs"/>
                <w:b/>
                <w:bCs/>
                <w:rtl/>
              </w:rPr>
              <w:t>מעשה מגונה בקטינה מתחת לגיל 16 (ריבוי עבירות)</w:t>
            </w:r>
            <w:r>
              <w:rPr>
                <w:rFonts w:hint="cs"/>
                <w:rtl/>
              </w:rPr>
              <w:t xml:space="preserve">, עבירה לפי סעיף 348(ב) בנסיבות סעיף 345(ב)(1) ו-345(א)(1). </w:t>
            </w:r>
          </w:p>
          <w:p w:rsidR="00670289" w:rsidRDefault="00670289" w:rsidP="00670289">
            <w:pPr>
              <w:pStyle w:val="a0"/>
              <w:jc w:val="both"/>
            </w:pPr>
            <w:r>
              <w:rPr>
                <w:rFonts w:hint="cs"/>
                <w:rtl/>
              </w:rPr>
              <w:t xml:space="preserve">הצדדים הגיעו להסדר טיעון, לפיו הנאשם הודה והורשע בכתב האישום המתוקן והופנה לקבלת תסקיר שירות המבחן. </w:t>
            </w:r>
          </w:p>
          <w:p w:rsidR="00670289" w:rsidRDefault="00670289" w:rsidP="00670289">
            <w:pPr>
              <w:pStyle w:val="a0"/>
              <w:jc w:val="both"/>
            </w:pPr>
            <w:r>
              <w:rPr>
                <w:rFonts w:hint="cs"/>
                <w:rtl/>
              </w:rPr>
              <w:lastRenderedPageBreak/>
              <w:t xml:space="preserve">על פי המתואר בעובדות כתב האישום המתוקן, הנאשם (יליד 1976) נשוי לדודתן של הקטינות: א.א (ילידת אפריל 01'), ב.ב (ילידת אוגוסט 99') ו-ג.ג (ילידת יולי 06'). </w:t>
            </w:r>
          </w:p>
          <w:p w:rsidR="00670289" w:rsidRDefault="00670289" w:rsidP="00670289">
            <w:pPr>
              <w:pStyle w:val="a0"/>
              <w:numPr>
                <w:ilvl w:val="0"/>
                <w:numId w:val="0"/>
              </w:numPr>
              <w:tabs>
                <w:tab w:val="left" w:pos="720"/>
              </w:tabs>
              <w:ind w:left="720"/>
              <w:jc w:val="both"/>
            </w:pPr>
            <w:r>
              <w:rPr>
                <w:rFonts w:hint="cs"/>
                <w:rtl/>
              </w:rPr>
              <w:t xml:space="preserve">על פי </w:t>
            </w:r>
            <w:r>
              <w:rPr>
                <w:rFonts w:hint="cs"/>
                <w:b/>
                <w:bCs/>
                <w:rtl/>
              </w:rPr>
              <w:t>האישום הראשון</w:t>
            </w:r>
            <w:r>
              <w:rPr>
                <w:rFonts w:hint="cs"/>
                <w:rtl/>
              </w:rPr>
              <w:t xml:space="preserve">, החל משנת 2013 ועד לשנת 2017 בכ-20 הזדמנויות במפגשים משפחתיים, במועדים שונים כאשר א.א היתה בין גיל 13 ל-16, הכניס הנאשם את ידו אל מתחת לבגדיה, נגע עם ידו בצווארה, בבטנה ובגבה ואף הכניס את ידו מתחת לחזייתה ומשש את חזהּ. בחלק מהמקרים כאשר א.א היתה בין גיל 12 ל-16 במספר הזדמנויות, מישש הנאשם את חזהּ וסובב את פטמותיה. באחד המקרים במהלך חג הסוכות בשנת 2013, כאשר א.א ישנה בסוכה שהיתה בסמוך לבית הנאשם, במהלך הלילה הניח הנאשם מזרן ליד המזרן שעליו ישנה א.א, והכניס את ידו מתחת לבגדיה וליטף את חזהּ. במהלך שנת 2016 כאשר א.א היתה כבת 15, ישב הנאשם על הספה בסלון ביתו, הניח עליו את רגליה של א.א ששכבה על הספה, וליטף את רגליה. בתגובה אמרה א.א לנאשם שמעשיו מדגדגים, ועברה לשבת במקום אחר. הנאשם קם ממקומו ועבר לשבת בצמוד לא.א, הניח את ראשה על רגליו, והכניס את יד ימינו מתחת לחולצתה וחזייתה וליטף את חזהּ ובמקביל נגע בידו השנייה באיבר מינו מעל למכנסיו. </w:t>
            </w:r>
          </w:p>
          <w:p w:rsidR="00670289" w:rsidRDefault="00670289" w:rsidP="00670289">
            <w:pPr>
              <w:pStyle w:val="a0"/>
              <w:numPr>
                <w:ilvl w:val="0"/>
                <w:numId w:val="0"/>
              </w:numPr>
              <w:tabs>
                <w:tab w:val="left" w:pos="720"/>
              </w:tabs>
              <w:ind w:left="720"/>
              <w:jc w:val="both"/>
            </w:pPr>
            <w:r>
              <w:rPr>
                <w:rFonts w:hint="cs"/>
                <w:rtl/>
              </w:rPr>
              <w:t xml:space="preserve">באחד המקרים במהלך חג הפסח בשנת 2017, כאשר א.א היתה בת 16, בעת חופשה משפחתית, צפו בני המשפחה בסרט שהוקרן במקום. בשלב מסוים התיישב הנאשם ליד א.א, ליטף את גבה וצווארה, הכניס ידו מתחת לחולצתה וליטף את חזה. באחד המקרים בשנת 2017 במהלך החופשה, התיישב הנאשם ליד א.א שישבה על המיטה, משך את שרוך שמלתה, ליטף את גבה ועורפה מעל לשמלה והכניס את ידו מתחת לבגדיה וליטף את חזהּ. </w:t>
            </w:r>
          </w:p>
          <w:p w:rsidR="00670289" w:rsidRDefault="00670289" w:rsidP="00670289">
            <w:pPr>
              <w:pStyle w:val="a0"/>
              <w:numPr>
                <w:ilvl w:val="0"/>
                <w:numId w:val="0"/>
              </w:numPr>
              <w:tabs>
                <w:tab w:val="left" w:pos="720"/>
              </w:tabs>
              <w:ind w:left="720"/>
              <w:jc w:val="both"/>
              <w:rPr>
                <w:rtl/>
              </w:rPr>
            </w:pPr>
            <w:r>
              <w:rPr>
                <w:rFonts w:hint="cs"/>
                <w:b/>
                <w:bCs/>
                <w:rtl/>
              </w:rPr>
              <w:t>על פי האישום השני</w:t>
            </w:r>
            <w:r>
              <w:rPr>
                <w:rFonts w:hint="cs"/>
                <w:rtl/>
              </w:rPr>
              <w:t xml:space="preserve">, החל משנת 2006 ועד לשנת 2011 כאשר ב.ב היתה בין גיל 7 ל-12, במספר הזדמנויות, פעם בשנה במהלך חג החנוכה, הכניס הנאשם את ידו מתחת לבגדיה של ב.ב, ונגע בצווארה, בבטנה ובגבה. בחלק מאותן הזדמנויות, הכניס ידו מתחת לחזייתה ונגע בחזהּ. בחלק מהמקרים, ביקש הנאשם מב.ב ללטף את צווארו וראשו והיא עשתה כן. בתגובה אמר לה הנאשם שהוא אוהב את זה וזה עושה לו צמרמורת. בחג החנוכה בשנת 2006 בעת מפגש משפחתי ישב הנאשם ליד ב.ב על הספה, ליטף את גבה מעל לחולצתה, לאחר מכן הכניס ידו מתחת לחולצתה וליטף אותה בצווארה ובחזה, ליטף את פטמותיה ואמר לה שהוא: "מתרגש מהנעימות, איזה צמרמורת, איזה יופי". </w:t>
            </w:r>
          </w:p>
          <w:p w:rsidR="00670289" w:rsidRDefault="00670289" w:rsidP="00670289">
            <w:pPr>
              <w:pStyle w:val="a0"/>
              <w:numPr>
                <w:ilvl w:val="0"/>
                <w:numId w:val="0"/>
              </w:numPr>
              <w:tabs>
                <w:tab w:val="left" w:pos="720"/>
              </w:tabs>
              <w:ind w:left="720"/>
              <w:jc w:val="both"/>
              <w:rPr>
                <w:rtl/>
              </w:rPr>
            </w:pPr>
            <w:r>
              <w:rPr>
                <w:rFonts w:hint="cs"/>
                <w:rtl/>
              </w:rPr>
              <w:t xml:space="preserve">על פי </w:t>
            </w:r>
            <w:r>
              <w:rPr>
                <w:rFonts w:hint="cs"/>
                <w:b/>
                <w:bCs/>
                <w:rtl/>
              </w:rPr>
              <w:t>האישום השלישי</w:t>
            </w:r>
            <w:r>
              <w:rPr>
                <w:rFonts w:hint="cs"/>
                <w:rtl/>
              </w:rPr>
              <w:t xml:space="preserve">, בשנת 2017 עת ג.ג היתה בת 11 התיישב הנאשם ליד ג.ג על הספה בביתו, הכניס את ידו מתחת לחולצתה וליטף את גופה בצידי חזה עד שאמרה לו שהיא צריכה ללכת ועזבה את הסלון.  </w:t>
            </w:r>
          </w:p>
          <w:p w:rsidR="00670289" w:rsidRDefault="00670289" w:rsidP="00670289">
            <w:pPr>
              <w:pStyle w:val="a0"/>
              <w:numPr>
                <w:ilvl w:val="0"/>
                <w:numId w:val="0"/>
              </w:numPr>
              <w:tabs>
                <w:tab w:val="left" w:pos="720"/>
              </w:tabs>
              <w:ind w:left="720"/>
              <w:jc w:val="both"/>
              <w:rPr>
                <w:rtl/>
              </w:rPr>
            </w:pPr>
            <w:r>
              <w:rPr>
                <w:rFonts w:hint="cs"/>
                <w:rtl/>
              </w:rPr>
              <w:t xml:space="preserve">על פי </w:t>
            </w:r>
            <w:r>
              <w:rPr>
                <w:rFonts w:hint="cs"/>
                <w:b/>
                <w:bCs/>
                <w:rtl/>
              </w:rPr>
              <w:t>האישום הרביעי</w:t>
            </w:r>
            <w:r>
              <w:rPr>
                <w:rFonts w:hint="cs"/>
                <w:rtl/>
              </w:rPr>
              <w:t xml:space="preserve">, בין השנים 2018 לשנת 2019, במספר הזדמנויות במועדים שונים, כאשר ד.ד (קטינה ילידת נובמבר 06') בִתם של חברי המשפחה הייתה בת 13-12, ליטף הנאשם את ירכה מעל לחצאיתה ואת ידה כאשר הם היו לבד ברכבו או כאשר ישבה על הספה בביתו של הנאשם. בשנת 2019 כאשר הייתה ד.ד בת 13, בשעת ערב, אסף הנאשם ברכבו את בנו ואת ד.ד ממקום מפגש לשם הסעתם לביתם. הנאשם אמר לד.ד לשבת במושב הקדמי והיא עשתה כן. הנאשם אמר </w:t>
            </w:r>
            <w:r>
              <w:rPr>
                <w:rFonts w:hint="cs"/>
                <w:rtl/>
              </w:rPr>
              <w:lastRenderedPageBreak/>
              <w:t xml:space="preserve">לבנו ולד.ד שעליו לעלות לביתה של ד.ד וסרב לבקשת בנו להתלוות אליו, הוריד את בנו בביתם והמשיך בנסיעה עם ד.ד. כאשר החנה את רכבו בסמוך לביתה של ד.ד, ליטף הנאשם את בירכה השמאלית, והכניס את ידו מתחת לחולצתה. בהמשך לכך הרים הנאשם את חולצתה וחזייתה של ד.ד וליטף את חזהּ ואת שפתיה ואמר לה: "אם לא נעים לך, תגידי ואני אפסיק". </w:t>
            </w:r>
          </w:p>
          <w:p w:rsidR="00670289" w:rsidRDefault="00670289" w:rsidP="00670289">
            <w:pPr>
              <w:pStyle w:val="a0"/>
              <w:numPr>
                <w:ilvl w:val="0"/>
                <w:numId w:val="0"/>
              </w:numPr>
              <w:tabs>
                <w:tab w:val="left" w:pos="720"/>
              </w:tabs>
              <w:jc w:val="both"/>
              <w:rPr>
                <w:b/>
                <w:bCs/>
                <w:u w:val="single"/>
                <w:rtl/>
              </w:rPr>
            </w:pPr>
            <w:r>
              <w:rPr>
                <w:rFonts w:hint="cs"/>
                <w:b/>
                <w:bCs/>
                <w:u w:val="single"/>
                <w:rtl/>
              </w:rPr>
              <w:t>תסקירי שירות המבחן</w:t>
            </w:r>
          </w:p>
          <w:p w:rsidR="00670289" w:rsidRDefault="008E757A" w:rsidP="008E757A">
            <w:pPr>
              <w:pStyle w:val="a0"/>
              <w:tabs>
                <w:tab w:val="left" w:pos="720"/>
              </w:tabs>
              <w:jc w:val="both"/>
              <w:rPr>
                <w:rtl/>
              </w:rPr>
            </w:pPr>
            <w:r>
              <w:rPr>
                <w:rFonts w:hint="cs"/>
                <w:rtl/>
              </w:rPr>
              <w:t>[</w:t>
            </w:r>
            <w:r w:rsidRPr="008E757A">
              <w:rPr>
                <w:rFonts w:hint="cs"/>
                <w:b/>
                <w:bCs/>
                <w:rtl/>
              </w:rPr>
              <w:t>הושמט</w:t>
            </w:r>
            <w:r>
              <w:rPr>
                <w:rFonts w:hint="cs"/>
                <w:rtl/>
              </w:rPr>
              <w:t xml:space="preserve">]. </w:t>
            </w:r>
          </w:p>
          <w:p w:rsidR="00670289" w:rsidRDefault="00670289" w:rsidP="00670289">
            <w:pPr>
              <w:pStyle w:val="a0"/>
              <w:numPr>
                <w:ilvl w:val="0"/>
                <w:numId w:val="0"/>
              </w:numPr>
              <w:tabs>
                <w:tab w:val="left" w:pos="720"/>
              </w:tabs>
              <w:ind w:left="-1"/>
              <w:jc w:val="both"/>
              <w:rPr>
                <w:b/>
                <w:bCs/>
                <w:u w:val="single"/>
              </w:rPr>
            </w:pPr>
            <w:r>
              <w:rPr>
                <w:rFonts w:hint="cs"/>
                <w:b/>
                <w:bCs/>
                <w:u w:val="single"/>
                <w:rtl/>
              </w:rPr>
              <w:t>תסקירי נפגעות העבירה</w:t>
            </w:r>
          </w:p>
          <w:p w:rsidR="00670289" w:rsidRDefault="008E757A" w:rsidP="008E757A">
            <w:pPr>
              <w:pStyle w:val="a0"/>
              <w:jc w:val="both"/>
              <w:rPr>
                <w:rtl/>
              </w:rPr>
            </w:pPr>
            <w:r>
              <w:rPr>
                <w:rFonts w:hint="cs"/>
                <w:b/>
                <w:bCs/>
                <w:rtl/>
              </w:rPr>
              <w:t xml:space="preserve">[הושמט]. </w:t>
            </w:r>
          </w:p>
          <w:p w:rsidR="00670289" w:rsidRDefault="008E757A" w:rsidP="008E757A">
            <w:pPr>
              <w:pStyle w:val="a0"/>
              <w:jc w:val="both"/>
              <w:rPr>
                <w:rtl/>
              </w:rPr>
            </w:pPr>
            <w:r>
              <w:rPr>
                <w:rFonts w:hint="cs"/>
                <w:b/>
                <w:bCs/>
                <w:rtl/>
              </w:rPr>
              <w:t xml:space="preserve">[הושמט] </w:t>
            </w:r>
          </w:p>
          <w:p w:rsidR="00670289" w:rsidRDefault="008E757A" w:rsidP="008E757A">
            <w:pPr>
              <w:pStyle w:val="a0"/>
              <w:jc w:val="both"/>
            </w:pPr>
            <w:r>
              <w:rPr>
                <w:rFonts w:hint="cs"/>
                <w:b/>
                <w:bCs/>
                <w:rtl/>
              </w:rPr>
              <w:t>[הושמט].</w:t>
            </w:r>
            <w:r w:rsidR="00670289">
              <w:rPr>
                <w:rFonts w:hint="cs"/>
                <w:rtl/>
              </w:rPr>
              <w:t xml:space="preserve"> </w:t>
            </w:r>
          </w:p>
          <w:p w:rsidR="00670289" w:rsidRDefault="00670289" w:rsidP="00670289">
            <w:pPr>
              <w:pStyle w:val="a0"/>
              <w:numPr>
                <w:ilvl w:val="0"/>
                <w:numId w:val="0"/>
              </w:numPr>
              <w:tabs>
                <w:tab w:val="left" w:pos="720"/>
              </w:tabs>
              <w:ind w:left="-1"/>
              <w:jc w:val="both"/>
              <w:rPr>
                <w:b/>
                <w:bCs/>
                <w:u w:val="single"/>
                <w:rtl/>
              </w:rPr>
            </w:pPr>
            <w:r>
              <w:rPr>
                <w:rFonts w:hint="cs"/>
                <w:b/>
                <w:bCs/>
                <w:u w:val="single"/>
                <w:rtl/>
              </w:rPr>
              <w:t>ראיות לעונש</w:t>
            </w:r>
          </w:p>
          <w:p w:rsidR="00670289" w:rsidRDefault="00670289" w:rsidP="008E757A">
            <w:pPr>
              <w:pStyle w:val="a0"/>
              <w:jc w:val="both"/>
              <w:rPr>
                <w:rtl/>
                <w:lang w:eastAsia="he-IL"/>
              </w:rPr>
            </w:pPr>
            <w:r>
              <w:rPr>
                <w:rFonts w:hint="cs"/>
                <w:b/>
                <w:bCs/>
                <w:rtl/>
                <w:lang w:eastAsia="he-IL"/>
              </w:rPr>
              <w:t xml:space="preserve">עדות אביהן של נפגעות העבירה א.א, ב.ב ו-ג.ג: </w:t>
            </w:r>
            <w:r w:rsidR="008E757A">
              <w:rPr>
                <w:rFonts w:hint="cs"/>
                <w:rtl/>
                <w:lang w:eastAsia="he-IL"/>
              </w:rPr>
              <w:t>[הושמט]</w:t>
            </w:r>
            <w:r>
              <w:rPr>
                <w:rFonts w:hint="cs"/>
                <w:rtl/>
                <w:lang w:eastAsia="he-IL"/>
              </w:rPr>
              <w:t>.</w:t>
            </w:r>
          </w:p>
          <w:p w:rsidR="00670289" w:rsidRDefault="00670289" w:rsidP="008E757A">
            <w:pPr>
              <w:pStyle w:val="a0"/>
              <w:jc w:val="both"/>
              <w:rPr>
                <w:lang w:eastAsia="he-IL"/>
              </w:rPr>
            </w:pPr>
            <w:r>
              <w:rPr>
                <w:rFonts w:hint="cs"/>
                <w:b/>
                <w:bCs/>
                <w:rtl/>
                <w:lang w:eastAsia="he-IL"/>
              </w:rPr>
              <w:t>עדות אימן של נפגעות העבירה א.א, ב.ב ו-ג.ג</w:t>
            </w:r>
            <w:r>
              <w:rPr>
                <w:rFonts w:hint="cs"/>
                <w:rtl/>
                <w:lang w:eastAsia="he-IL"/>
              </w:rPr>
              <w:t xml:space="preserve">: </w:t>
            </w:r>
            <w:r w:rsidR="008E757A">
              <w:rPr>
                <w:rFonts w:hint="cs"/>
                <w:rtl/>
                <w:lang w:eastAsia="he-IL"/>
              </w:rPr>
              <w:t>[הושמט]</w:t>
            </w:r>
          </w:p>
          <w:p w:rsidR="00670289" w:rsidRDefault="00670289" w:rsidP="008E757A">
            <w:pPr>
              <w:pStyle w:val="a0"/>
              <w:jc w:val="both"/>
              <w:rPr>
                <w:lang w:eastAsia="he-IL"/>
              </w:rPr>
            </w:pPr>
            <w:r>
              <w:rPr>
                <w:rFonts w:hint="cs"/>
                <w:b/>
                <w:bCs/>
                <w:rtl/>
                <w:lang w:eastAsia="he-IL"/>
              </w:rPr>
              <w:t>עדות אביה של ד.ד</w:t>
            </w:r>
            <w:r>
              <w:rPr>
                <w:rFonts w:hint="cs"/>
                <w:rtl/>
                <w:lang w:eastAsia="he-IL"/>
              </w:rPr>
              <w:t xml:space="preserve"> – </w:t>
            </w:r>
            <w:r w:rsidR="008E757A">
              <w:rPr>
                <w:rFonts w:hint="cs"/>
                <w:rtl/>
                <w:lang w:eastAsia="he-IL"/>
              </w:rPr>
              <w:t>[השומט]</w:t>
            </w:r>
            <w:r>
              <w:rPr>
                <w:rFonts w:hint="cs"/>
                <w:rtl/>
                <w:lang w:eastAsia="he-IL"/>
              </w:rPr>
              <w:t>.</w:t>
            </w:r>
          </w:p>
          <w:p w:rsidR="00670289" w:rsidRDefault="00670289" w:rsidP="00670289">
            <w:pPr>
              <w:pStyle w:val="af1"/>
              <w:rPr>
                <w:rFonts w:ascii="David" w:hAnsi="David"/>
                <w:rtl/>
              </w:rPr>
            </w:pPr>
            <w:r>
              <w:rPr>
                <w:rFonts w:ascii="David" w:hAnsi="David"/>
                <w:rtl/>
              </w:rPr>
              <w:t>טיעוני הצדדים</w:t>
            </w:r>
          </w:p>
          <w:p w:rsidR="00670289" w:rsidRDefault="00670289" w:rsidP="00670289">
            <w:pPr>
              <w:pStyle w:val="a0"/>
              <w:jc w:val="both"/>
              <w:rPr>
                <w:rtl/>
              </w:rPr>
            </w:pPr>
            <w:r>
              <w:rPr>
                <w:rFonts w:hint="cs"/>
                <w:rtl/>
              </w:rPr>
              <w:t xml:space="preserve">ב"כ המאשימה, עו"ד דניאל איקן, טען כי הנאשם פגע בשורה ארוכה של ערכים מוגנים, בפרטיותן של המתלוננות, בזכותן לאוטונומיה על גופן ובביטחונן בתא המשפחתי. קיים צורך בהגנה על קטינים החשופים בתוך ביתם לפגיעה ללא יכולת להתגונן או להימלט. הנאשם פגע בארבע קטינות, תוך ניצול לרעה של הקרבה המשפחתית והחברית, תמימותן של הקטינות ואמון שנתנו בו. מעשיו בוצעו בזמן קריטי של התפתחות הקטינות והתסקירים מלמדים על הפגיעה החמורה בהן ובבני משפחתן. פגיעתו של הנאשם בערכים המוגנים היא בעוצמה גבוהה ועל העונש שייגזר לשקף את הסלידה העמוקה של החברה ממעשים אלה ולשדר מסר מרתיע לאחרים. </w:t>
            </w:r>
          </w:p>
          <w:p w:rsidR="00670289" w:rsidRDefault="00670289" w:rsidP="00670289">
            <w:pPr>
              <w:pStyle w:val="a0"/>
              <w:numPr>
                <w:ilvl w:val="0"/>
                <w:numId w:val="0"/>
              </w:numPr>
              <w:tabs>
                <w:tab w:val="left" w:pos="720"/>
              </w:tabs>
              <w:ind w:left="720"/>
              <w:jc w:val="both"/>
            </w:pPr>
            <w:r>
              <w:rPr>
                <w:rFonts w:hint="cs"/>
                <w:rtl/>
              </w:rPr>
              <w:t xml:space="preserve">המעשה הראשון בוצע בשנת 2006 כאשר הנאשם היה כבן 30 והמעשה האחרון בוצע בשנת 2019 כאשר היה בן 43, כך שמדובר במעשים חוזרים ונשנים לאורך שנים. בא.א ביצע פגיעות מיניות במשך שלוש שנים מאז היותה בת 13. בקטינה ב.ב ביצע פגיעות מיניות במשך חמש שנים מאז היתה בת 7 וב-ג.ג פגע פעם אחת בהיותה בת 11. בקטינה ד.ד ביצע פגיעות מיניות כאשר היתה בגילאי 13-12. הנאשם ניצל הזדמנויות של נגישות לקטינות לשם ביצוע מעשיו, ניצל את מעמדו, ופעל באופן מניפולטיבי תוך הסוואת כוונותיו המיניות והצגת מעשיו כלגיטימיים. מסוכנותו של הנאשם נלמדת בין היתר מכך שהוא ביצע חלק מהמעשים בנוכחות אחרים. </w:t>
            </w:r>
          </w:p>
          <w:p w:rsidR="00670289" w:rsidRDefault="00670289" w:rsidP="00670289">
            <w:pPr>
              <w:pStyle w:val="a0"/>
              <w:numPr>
                <w:ilvl w:val="0"/>
                <w:numId w:val="0"/>
              </w:numPr>
              <w:tabs>
                <w:tab w:val="left" w:pos="720"/>
              </w:tabs>
              <w:ind w:left="720"/>
              <w:jc w:val="both"/>
              <w:rPr>
                <w:rtl/>
              </w:rPr>
            </w:pPr>
            <w:r>
              <w:rPr>
                <w:rFonts w:hint="cs"/>
                <w:rtl/>
              </w:rPr>
              <w:lastRenderedPageBreak/>
              <w:t xml:space="preserve">מדיניות הענישה הנוהגת מעלה כי במקרים דומים נאשמים שהורשעו בריבוי עבירות מין בקטינות במשפחה נדונו לעונשי מאסר ממושכים ובית המשפט העליון עמד לא אחת על כך שעל העונש לשקף את חומרת העבירה וסלידת החברה ממנה. </w:t>
            </w:r>
          </w:p>
          <w:p w:rsidR="00670289" w:rsidRDefault="00670289" w:rsidP="00670289">
            <w:pPr>
              <w:pStyle w:val="a0"/>
              <w:numPr>
                <w:ilvl w:val="0"/>
                <w:numId w:val="0"/>
              </w:numPr>
              <w:tabs>
                <w:tab w:val="left" w:pos="720"/>
              </w:tabs>
              <w:ind w:left="720"/>
              <w:jc w:val="both"/>
              <w:rPr>
                <w:rtl/>
              </w:rPr>
            </w:pPr>
            <w:r>
              <w:rPr>
                <w:rFonts w:hint="cs"/>
                <w:rtl/>
              </w:rPr>
              <w:t>המאשימה עתרה לקבוע ארבעה מתחמי עונש נפרדים: באישומים הראשון והשני החל מ-50 ועד ל-70 חודשי מאסר, כל אחד; באישום השלישי החל מ-21 ועד ל-30 חודשי מאסר; באישום הרביעי החל מ-36 ועד ל-48 חודשי מאסר.</w:t>
            </w:r>
          </w:p>
          <w:p w:rsidR="00670289" w:rsidRDefault="00670289" w:rsidP="00670289">
            <w:pPr>
              <w:pStyle w:val="a0"/>
              <w:numPr>
                <w:ilvl w:val="0"/>
                <w:numId w:val="0"/>
              </w:numPr>
              <w:tabs>
                <w:tab w:val="left" w:pos="720"/>
              </w:tabs>
              <w:ind w:left="720"/>
              <w:jc w:val="both"/>
              <w:rPr>
                <w:rtl/>
              </w:rPr>
            </w:pPr>
            <w:r>
              <w:rPr>
                <w:rFonts w:hint="cs"/>
                <w:rtl/>
              </w:rPr>
              <w:t xml:space="preserve">מבחינת הנסיבות שאינן קשורות בביצוע העבירה, ציינה המאשימה את הודאת הנאשם בביצוע העבירות ואת היות הנאשם ללא עבר פלילי, הגם שלשיטתה אין לתת לכך משקל רב נוכח ריבוי העבירות על פני תקופה ממושכת. התסקיר שהוגש מלמד שהנאשם החל בטיפול בחודש מאי 22', אצל מטפל פרטי, אשר בפניו הסתיר את מצבו המשפטי והתייחס רק לנפגעת אחת. המטפל המליץ על טיפול אינטנסיבי. במרץ 23' הנאשם התקשה בנטילת אחריות למעשיו, התרשמו מקיומם של דחפים מיניים מוגברים ולא ניתן לשלול סטייה הבופילית. הנאשם שולב בטיפול במסגרת "מעגלים" כאשר אף שהודה באופן פורמלי הוא התקשה להתייחס לנפגעות ולהעמיק בפגיעה, הוא עדיין בעל דפוסי הסתרה ומתקשה להביא את חלקיו הפוגעניים. חלפו שנתיים שהנאשם בטיפול והוא עדיין בשלב של תובנות ראשוניות והכרה ראשונית בבעייתיות. נוכח האמור, לא ניתן לקבוע שהנאשם השתקם ואף לא שקיים סיכוי ממשי לשיקומו. </w:t>
            </w:r>
          </w:p>
          <w:p w:rsidR="00670289" w:rsidRDefault="00670289" w:rsidP="00670289">
            <w:pPr>
              <w:pStyle w:val="a0"/>
              <w:numPr>
                <w:ilvl w:val="0"/>
                <w:numId w:val="0"/>
              </w:numPr>
              <w:tabs>
                <w:tab w:val="left" w:pos="720"/>
              </w:tabs>
              <w:ind w:left="720"/>
              <w:jc w:val="both"/>
              <w:rPr>
                <w:rtl/>
              </w:rPr>
            </w:pPr>
            <w:r>
              <w:rPr>
                <w:rFonts w:hint="cs"/>
                <w:rtl/>
              </w:rPr>
              <w:t xml:space="preserve">המאשימה עתרה למקם את עונשו של הנאשם בשליש התחתון של מתחמי העונש ולקבוע עונש כולל של 6 שנות מאסר בפועל, מאסר על תנאי ופיצוי משמעותי למתלוננות. </w:t>
            </w:r>
          </w:p>
          <w:p w:rsidR="00670289" w:rsidRDefault="00670289" w:rsidP="00670289">
            <w:pPr>
              <w:pStyle w:val="a0"/>
              <w:jc w:val="both"/>
              <w:rPr>
                <w:rtl/>
              </w:rPr>
            </w:pPr>
            <w:r>
              <w:rPr>
                <w:rFonts w:hint="cs"/>
                <w:rtl/>
              </w:rPr>
              <w:t>ב"כ הנאשם, עו"ד שלומציון גבאי-מנדלמן, טענה כי אופן חשיפת העבירות הוא גורם משמעותי שיש לתת לו משקל. הנאשם זומן לשיחה עם הרב בחודש מרץ 22', וזאת בעקבות פנייה של הוריה של ד.ד לרב. בשיחה חשף הנאשם שפגע ב-ד.ד והתחייב להתחיל בטיפול. במאי 22' החל בטיפול אצל קרימינולוג קליני למשך 8 חודשים. כפי שעולה ממכתב של הקרימינולוג, הנאשם הגיע לטיפול באופן פרטי, ביקש טיפול בעקבות התנהגות לא ראויה מצדו כלפי נערה שהיא בִתם של חבריה של אשתו (ד.ד). הנאשם סיפר במהלך הטיפול על פגיעה בא.א, האחיינית של אשתו כשהייתה נערה. בהמשך לשיחה עם הרב, הנאשם שיתף את אשתו בדבר הפגיעה וזו פנתה להוריהן של א.א, ב.ב ו-ג.ג. בעקבות השיחה ההורים בדקו עם בנותיהן על אודות פגיעה בידי הנאשם בשיח פרטני עם כל אחת מהן. באוגוסט 22' הוגשה תלונה על ידי ב.ב ו-ג.ג, אך המשטרה לא פעלה בעניין. באותו שלב א.א לא רצתה להתלונן. רק בינואר 23' א.א הגישה תלונה, ואז הנאשם נעצר, ומספר ימים לאחר מכן ד.ד זומנה למשטרה, והגישה גם היא תלונה.</w:t>
            </w:r>
          </w:p>
          <w:p w:rsidR="00670289" w:rsidRDefault="00670289" w:rsidP="00670289">
            <w:pPr>
              <w:pStyle w:val="a0"/>
              <w:numPr>
                <w:ilvl w:val="0"/>
                <w:numId w:val="0"/>
              </w:numPr>
              <w:tabs>
                <w:tab w:val="left" w:pos="720"/>
              </w:tabs>
              <w:ind w:left="720"/>
              <w:jc w:val="both"/>
              <w:rPr>
                <w:rtl/>
              </w:rPr>
            </w:pPr>
            <w:r>
              <w:rPr>
                <w:rFonts w:hint="cs"/>
                <w:rtl/>
              </w:rPr>
              <w:t xml:space="preserve">יש לתת משקל לחלוף הזמן – מעשיו של הנאשם הופסקו בשנת 2019, זמן רב לפני חשיפת המעשים בשנת 2022. העבירות כלפי א.א פסקו לפני 7 שנים, מדובר בכ-20 עבירות, כאשר המעשים האחרונים אינם בגדר מעשה מגונה במשפחה בשל גילה. העבירות כלפי ב.ב מדובר באירועים ספורים שנפרסו במשך שנים ומתום ביצועם חלפו 12 שנים. בעבירות כלפי ג.ג – מדובר באירוע חד פעמי, ברף הנמוך של העבירות ולא מיוחסת לו עבירה של מעשה מגונה במשפחה. מאז </w:t>
            </w:r>
            <w:r>
              <w:rPr>
                <w:rFonts w:hint="cs"/>
                <w:rtl/>
              </w:rPr>
              <w:lastRenderedPageBreak/>
              <w:t xml:space="preserve">העבירה חלפו למעלה משש שנים. באשר לעבירות כלפי ד.ד מדובר במספר הזדמנויות של מעשה מגונה שלא בבן משפחה וחלפו מאז ארבע שנים. </w:t>
            </w:r>
          </w:p>
          <w:p w:rsidR="00670289" w:rsidRDefault="00670289" w:rsidP="00670289">
            <w:pPr>
              <w:pStyle w:val="a0"/>
              <w:numPr>
                <w:ilvl w:val="0"/>
                <w:numId w:val="0"/>
              </w:numPr>
              <w:tabs>
                <w:tab w:val="left" w:pos="720"/>
              </w:tabs>
              <w:ind w:left="720"/>
              <w:jc w:val="both"/>
              <w:rPr>
                <w:rtl/>
              </w:rPr>
            </w:pPr>
            <w:r>
              <w:rPr>
                <w:rFonts w:hint="cs"/>
                <w:rtl/>
              </w:rPr>
              <w:t>המעשים המגונים שביצע הנאשם אינם ברף הגבוה, ולא כללו מגע באיברי המין.</w:t>
            </w:r>
          </w:p>
          <w:p w:rsidR="00670289" w:rsidRDefault="00670289" w:rsidP="00670289">
            <w:pPr>
              <w:pStyle w:val="a0"/>
              <w:numPr>
                <w:ilvl w:val="0"/>
                <w:numId w:val="0"/>
              </w:numPr>
              <w:tabs>
                <w:tab w:val="left" w:pos="720"/>
              </w:tabs>
              <w:ind w:left="720"/>
              <w:jc w:val="both"/>
              <w:rPr>
                <w:rtl/>
              </w:rPr>
            </w:pPr>
            <w:r>
              <w:rPr>
                <w:rFonts w:hint="cs"/>
                <w:rtl/>
              </w:rPr>
              <w:t xml:space="preserve">אשר לנזק שנגרם מביצוע העבירות, נפגעות העבירה למדו וסיימו 12 שנות לימוד. עיון בתסקיר בעניינה של ב.ב מעלה ספק ביכולת לקבוע שהנזק הוא תוצאה מפגיעת הנאשם. </w:t>
            </w:r>
          </w:p>
          <w:p w:rsidR="00670289" w:rsidRDefault="00670289" w:rsidP="00670289">
            <w:pPr>
              <w:pStyle w:val="a0"/>
              <w:numPr>
                <w:ilvl w:val="0"/>
                <w:numId w:val="0"/>
              </w:numPr>
              <w:tabs>
                <w:tab w:val="left" w:pos="720"/>
              </w:tabs>
              <w:ind w:left="720"/>
              <w:jc w:val="both"/>
              <w:rPr>
                <w:rtl/>
              </w:rPr>
            </w:pPr>
            <w:r>
              <w:rPr>
                <w:rFonts w:hint="cs"/>
                <w:rtl/>
              </w:rPr>
              <w:t xml:space="preserve">אשר לנסיבות שאינן קשורות בביצוע העבירה, מדובר בנאשם שנטל אחריות למעשיו עוד בטרם נחקר במשטרה, נמצא בטיפול בהוסטל מאז חודש מאי 23'. התוכנית שאותה הציג שירות המבחן שאורכה שלוש שנים, קשורה בשימור בתכנים, וזוהי תכנית סטנדרטית ולא קשורה דווקא בנאשם. הוא החל את הטיפול אצל קרימינולוג, הפסיק לעסוק בהוראה כחלק מתוכנית השיקום, מצוי בתנאים מגבילים קרוב לשנה. החלק האינטנסיבי של הטיפול בהוסטל צפוי להסתיים בעוד מספר חודשים. </w:t>
            </w:r>
          </w:p>
          <w:p w:rsidR="00670289" w:rsidRDefault="00670289" w:rsidP="00670289">
            <w:pPr>
              <w:pStyle w:val="a0"/>
              <w:numPr>
                <w:ilvl w:val="0"/>
                <w:numId w:val="0"/>
              </w:numPr>
              <w:tabs>
                <w:tab w:val="left" w:pos="720"/>
              </w:tabs>
              <w:ind w:left="720"/>
              <w:jc w:val="both"/>
              <w:rPr>
                <w:rtl/>
              </w:rPr>
            </w:pPr>
            <w:r>
              <w:rPr>
                <w:rFonts w:hint="cs"/>
                <w:rtl/>
              </w:rPr>
              <w:t xml:space="preserve">חריגה מהמתחם משיקולי שיקום – לנאשם יש סיכוי של ממש להשתקם, כך עולה מדווח גורמי הטיפול בהוסטל. </w:t>
            </w:r>
          </w:p>
          <w:p w:rsidR="00670289" w:rsidRDefault="00670289" w:rsidP="00670289">
            <w:pPr>
              <w:pStyle w:val="a0"/>
              <w:numPr>
                <w:ilvl w:val="0"/>
                <w:numId w:val="0"/>
              </w:numPr>
              <w:tabs>
                <w:tab w:val="left" w:pos="720"/>
              </w:tabs>
              <w:ind w:left="720"/>
              <w:jc w:val="both"/>
              <w:rPr>
                <w:rtl/>
              </w:rPr>
            </w:pPr>
            <w:r>
              <w:rPr>
                <w:rFonts w:hint="cs"/>
                <w:rtl/>
              </w:rPr>
              <w:t xml:space="preserve">הנאשם בן 48 אב לחמישה ילדים, ללא עבור פלילי ועבד לאורך השנים בתחום החינוך וכבנקאי. אשתו פתחה בהליך גירושין, ויש לתת משקל לנזק המשפחתי. במקרה זה יש לקבוע מתחם נמוך מהעונש המזערי, ולהטיל את חלקו בפועל וחלקו על תנאי. </w:t>
            </w:r>
          </w:p>
          <w:p w:rsidR="00670289" w:rsidRDefault="00670289" w:rsidP="00670289">
            <w:pPr>
              <w:pStyle w:val="a0"/>
              <w:jc w:val="both"/>
            </w:pPr>
            <w:r>
              <w:rPr>
                <w:rFonts w:hint="cs"/>
                <w:rtl/>
              </w:rPr>
              <w:t>הנאשם בדבריו לעונש טען שעשה מעשים נוראיים, פגע בקטינות, ניצל אותן, את תמימותן ואת האמון שניתן בו. מתחרט על מעשיו ומבקש סליחה. מבין שמעבר לפגיעתו בנפגעות העבירה, פגע גם במשפחתן, במשפחה המורחבת ובקהילה. הבין בשלב כלשהו שיש לו בעיה וחשש לפעול בעניין מעבר להפסקת הפגיעות. לפני כשנתיים פנה אליו רב ומיד כשהחל לדבר, הודה. משם התקשר לאשתו וסיפר לה על הפגיעה הזו וביחד איתה חיפש דרך לקבלת טיפול והשתלב בטיפול. אחרי 8 חודשי טיפול נעצר וביקש להשתלב מחדש בטיפול. מדובר בטיפול קשה, היה מנותק ממשפחתו ומחייו, עסק בדברים קשים הקשורים בפגיעות שפגע ובדפוסי הסתרה ומניפולציות, למד לזהות מצבי סיכון, ולדבר בפתיחות. בתקופה הזו משפחתו התפרקה, הם עברו דירה והתנתקו מהעולם שמוכר להם. בחודשים האחרונים חלה התקרבות ביניהם. מבין שלא ניתן לתקן את הנזקים ושאין דרך לכפר עליהם. הביע חרטה וביקש סליחה.</w:t>
            </w:r>
          </w:p>
          <w:p w:rsidR="00670289" w:rsidRDefault="00670289" w:rsidP="00670289">
            <w:pPr>
              <w:pStyle w:val="af1"/>
              <w:rPr>
                <w:rFonts w:ascii="David" w:hAnsi="David"/>
              </w:rPr>
            </w:pPr>
            <w:r>
              <w:rPr>
                <w:rFonts w:ascii="David" w:hAnsi="David"/>
                <w:rtl/>
              </w:rPr>
              <w:t xml:space="preserve">דיון והכרעה </w:t>
            </w:r>
          </w:p>
          <w:p w:rsidR="00670289" w:rsidRDefault="00670289" w:rsidP="00670289">
            <w:pPr>
              <w:pStyle w:val="af1"/>
              <w:rPr>
                <w:rFonts w:ascii="David" w:hAnsi="David"/>
                <w:rtl/>
              </w:rPr>
            </w:pPr>
            <w:r>
              <w:rPr>
                <w:rFonts w:ascii="David" w:hAnsi="David"/>
                <w:rtl/>
              </w:rPr>
              <w:t>קביעת מתחם העונש ההולם</w:t>
            </w:r>
          </w:p>
          <w:p w:rsidR="00670289" w:rsidRDefault="00670289" w:rsidP="00670289">
            <w:pPr>
              <w:pStyle w:val="a0"/>
              <w:jc w:val="both"/>
            </w:pPr>
            <w:r>
              <w:rPr>
                <w:rFonts w:hint="cs"/>
                <w:rtl/>
              </w:rPr>
              <w:t xml:space="preserve">כתב האישום כולל ארבעה אישומים נפרדים ובהם עבירות כלפי ארבע נפגעות עבירה. הנאשם ביצע מעשים דומים כלפי כל אחת מנפגעות העבירה, שלוש מהן אחייניות של רעייתו ואחת היא בת חבריו הטובים. על אף שהנאשם פעל בדפוס דומה של מעשים, לא ניתן לראות בכך סדרה אחת של מעשים שקיים ביניהם קשר ענייני הדוק במסגרת פרשייה אחת. כל אחת מהנפגעות </w:t>
            </w:r>
            <w:r>
              <w:rPr>
                <w:rFonts w:hint="cs"/>
                <w:rtl/>
              </w:rPr>
              <w:lastRenderedPageBreak/>
              <w:t xml:space="preserve">נפגעה בתקופה אחרת, ובמספר שונה של מקרים. קביעת מתחמי עונש נפרדים בנוגע לכל נפגעת עבירה מבטאת הכרה בפגיעה בכל אחת מהן, ויש לראות מעשים כלפי קורבנות עבירה שונים כאירועים שונים, אף אם קיימים קווי דמיון מסוימים באופי המעשים. לפיכך ובהתאם למבחני הפסיקה, אנו סבורים כי יש מקום לקבוע מתחם עונש נפרד למעשים שבוצעו כלפי כל נפגעת עבירה (ע"פ 4910/13 </w:t>
            </w:r>
            <w:r>
              <w:rPr>
                <w:rFonts w:hint="cs"/>
                <w:b/>
                <w:bCs/>
                <w:rtl/>
              </w:rPr>
              <w:t>ג'אבר נ' מדינת ישראל</w:t>
            </w:r>
            <w:r>
              <w:rPr>
                <w:rFonts w:hint="cs"/>
                <w:rtl/>
              </w:rPr>
              <w:t xml:space="preserve"> (29.10.2014) ובע"פ 319/17 </w:t>
            </w:r>
            <w:r>
              <w:rPr>
                <w:rFonts w:hint="cs"/>
                <w:b/>
                <w:bCs/>
                <w:rtl/>
              </w:rPr>
              <w:t>פלוני נ' מדינת ישראל</w:t>
            </w:r>
            <w:r>
              <w:rPr>
                <w:rFonts w:hint="cs"/>
                <w:rtl/>
              </w:rPr>
              <w:t xml:space="preserve"> (19.7.2018)).</w:t>
            </w:r>
          </w:p>
          <w:p w:rsidR="00670289" w:rsidRDefault="00670289" w:rsidP="00670289">
            <w:pPr>
              <w:pStyle w:val="a0"/>
              <w:jc w:val="both"/>
            </w:pPr>
            <w:r>
              <w:rPr>
                <w:rFonts w:hint="cs"/>
                <w:rtl/>
              </w:rPr>
              <w:t xml:space="preserve">הנאשם פגע בשורה של ערכים מוגנים ובראשם כבודן, נפשן וגופן של נפגעות העבירה, זכותן לחירות ולאוטונומיה על גופן, לביטחונן האישי והאמון הטבוע בתא המשפחתי. חומרה יתרה מאפיינת עבירות מין המבוצעות בקטינה על ידי בן משפחה ובמקרה זה דודן של נפגעות העבירה, בסביבה שבה הן אמורות לחוש בטוחות ומוגנות, תוך ניצול לרעה של הקִרבה ושל האמון השורר במסגרת התא המשפחתי בין הפוגע לבין נפגעת העבירה, כמו גם את כוחו העדיף, פער הגילים המשמעותי ומעמדו כלפי הנפגעות. גילם הצעיר ותמימותם של ילדות וילדים נפגעי עבירה הופכים אותם לפגיעים במיוחד, בפרט כאשר הפגיעה מתרחשת על ידי קרוב משפחה בוגר המנצל זאת, בתוך ביתם מבצרם. בית המשפט העליון עמד פעמים רבות על הצורך בענישה מחמירה בעבירות מין המבוצעות בקטינים על ידי בן משפחה או על ידי דמות קרובה אחרת, שהן מהבזויות שבספר החוקים. עבירות מין אשר מתבצעות בחוג המשפחה, פוגעות לא רק בגוף אלא גם בנפש, תוך שהן מרסקות את האמון הבסיסי במקום שאמור להיות מוגן ובטוח לקטינות נפגעות העבירה. על העונש להעמיד במרכזו את הפגיעה בנפגעת העבירה, שעלולה ללוותה למשך כל חייה, ולא בנקל תימחה עם חלוף הזמן. במקרים שבהם העבירה מתבצעת בתוך התא המשפחתי, יש לפגיעה גם השלכות הרסניות על המרקם המשפחתי כולו. משכך, נדרשת ענישה מחמירה בעבירות מסוג זה אשר תבטא את ההוקעה החברתית והפסול המוסרי שבמעשים </w:t>
            </w:r>
            <w:r>
              <w:rPr>
                <w:rFonts w:hint="cs"/>
                <w:color w:val="auto"/>
                <w:rtl/>
              </w:rPr>
              <w:t>(</w:t>
            </w:r>
            <w:r>
              <w:rPr>
                <w:rFonts w:hint="cs"/>
                <w:rtl/>
              </w:rPr>
              <w:t xml:space="preserve">כב' משנה לנשיאה (כתוארו אז) ע' פוגלמן ע"פ 4099/22 </w:t>
            </w:r>
            <w:r>
              <w:rPr>
                <w:rFonts w:hint="cs"/>
                <w:b/>
                <w:bCs/>
                <w:rtl/>
              </w:rPr>
              <w:t>פלוני נ' מדינת ישראל</w:t>
            </w:r>
            <w:r>
              <w:rPr>
                <w:rFonts w:hint="cs"/>
                <w:rtl/>
              </w:rPr>
              <w:t>, פיסקה 6 (6.12.2022);</w:t>
            </w:r>
            <w:r>
              <w:rPr>
                <w:rFonts w:hint="cs"/>
                <w:color w:val="auto"/>
                <w:rtl/>
              </w:rPr>
              <w:t xml:space="preserve"> </w:t>
            </w:r>
            <w:r>
              <w:rPr>
                <w:rFonts w:hint="cs"/>
                <w:rtl/>
              </w:rPr>
              <w:t xml:space="preserve">כב' השופטת ד' ברק-ארז בע"פ 3615/18 </w:t>
            </w:r>
            <w:r>
              <w:rPr>
                <w:rFonts w:hint="cs"/>
                <w:b/>
                <w:bCs/>
                <w:rtl/>
              </w:rPr>
              <w:t>פלוני נ' מדינת ישראל</w:t>
            </w:r>
            <w:r>
              <w:rPr>
                <w:rFonts w:hint="cs"/>
                <w:rtl/>
              </w:rPr>
              <w:t>, פיסקה 71 (26.3.2020); כב' השופטת י' וילנר בע"פ 5815/22 </w:t>
            </w:r>
            <w:r>
              <w:rPr>
                <w:rFonts w:hint="cs"/>
                <w:b/>
                <w:bCs/>
                <w:rtl/>
              </w:rPr>
              <w:t>פלוני נ' מדינת ישראל</w:t>
            </w:r>
            <w:r>
              <w:rPr>
                <w:rFonts w:hint="cs"/>
                <w:rtl/>
              </w:rPr>
              <w:t xml:space="preserve">, פיסקה 17 (31.05.2023); כב' השופט ד' מינץ בע"פ 2783/22 </w:t>
            </w:r>
            <w:r>
              <w:rPr>
                <w:rFonts w:hint="cs"/>
                <w:b/>
                <w:bCs/>
                <w:rtl/>
              </w:rPr>
              <w:t>דאבוש נ' מדינת ישראל</w:t>
            </w:r>
            <w:r>
              <w:rPr>
                <w:rFonts w:hint="cs"/>
                <w:rtl/>
              </w:rPr>
              <w:t>, פיסקה 57 (12.5.2023)</w:t>
            </w:r>
            <w:r>
              <w:rPr>
                <w:rFonts w:hint="cs"/>
                <w:color w:val="auto"/>
                <w:rtl/>
              </w:rPr>
              <w:t>; כב' השופט י' אלרון בע"פ</w:t>
            </w:r>
            <w:r>
              <w:rPr>
                <w:rFonts w:hint="cs"/>
                <w:rtl/>
              </w:rPr>
              <w:t xml:space="preserve"> 1831/21 </w:t>
            </w:r>
            <w:r>
              <w:rPr>
                <w:rFonts w:hint="cs"/>
                <w:b/>
                <w:bCs/>
                <w:rtl/>
              </w:rPr>
              <w:t>מדינת ישראל נ' פלוני</w:t>
            </w:r>
            <w:r>
              <w:rPr>
                <w:rFonts w:hint="cs"/>
                <w:rtl/>
              </w:rPr>
              <w:t>, פיסקה 15 (30.1.2022)).</w:t>
            </w:r>
          </w:p>
          <w:p w:rsidR="00670289" w:rsidRDefault="00670289" w:rsidP="00670289">
            <w:pPr>
              <w:pStyle w:val="a0"/>
              <w:numPr>
                <w:ilvl w:val="0"/>
                <w:numId w:val="0"/>
              </w:numPr>
              <w:tabs>
                <w:tab w:val="left" w:pos="720"/>
              </w:tabs>
              <w:ind w:left="720"/>
              <w:jc w:val="both"/>
            </w:pPr>
            <w:r>
              <w:rPr>
                <w:rFonts w:hint="cs"/>
                <w:rtl/>
              </w:rPr>
              <w:t>כך גם בכל הנוגע לד.ד, אמנם אין המדובר בעבירות במשפחה, אלא כלפי בת של חברי המשפחה, אך מדובר בפגיעה קשה בערכים המוגנים, וגם בה יש משום פגיעה באמון שנתנו ד.ד והוריה בנאשם, תוך ניצול תמימותה, גילה הצעיר, ופערי הגילים ביניהם.</w:t>
            </w:r>
          </w:p>
          <w:p w:rsidR="00670289" w:rsidRDefault="00670289" w:rsidP="00670289">
            <w:pPr>
              <w:pStyle w:val="a0"/>
              <w:jc w:val="both"/>
            </w:pPr>
            <w:r>
              <w:rPr>
                <w:rFonts w:hint="cs"/>
                <w:rtl/>
              </w:rPr>
              <w:t xml:space="preserve">בחינת </w:t>
            </w:r>
            <w:r>
              <w:rPr>
                <w:rFonts w:hint="cs"/>
                <w:b/>
                <w:bCs/>
                <w:rtl/>
              </w:rPr>
              <w:t xml:space="preserve">מידת הפגיעה בערך המוגן </w:t>
            </w:r>
            <w:r>
              <w:rPr>
                <w:rFonts w:hint="cs"/>
                <w:rtl/>
              </w:rPr>
              <w:t xml:space="preserve">מובילה למסקנה כי הפגיעה היא ברף בינוני-גבוה, וזאת בהינתן התקופה הממושכת בה ביצע הנאשם את העבירות כלפי ארבע נפגעות עבירה שונות, שלוש מהן אחיות בנות משפחתו ונפגעת נוספת בתם של חבריו הקרובים. ריבוי המעשים ומשכם מעצימים את הפגיעה. מידת הפגיעה בערכים המוגנים מתעצמת אף לנוכח גילן הצעיר של נפגעות העבירה, א.א שהייתה כבת 12 כאשר החל הנאשם לבצע בה מעשים מיניים, ב.ב שהיתה בת 7 בעת שהחל </w:t>
            </w:r>
            <w:r>
              <w:rPr>
                <w:rFonts w:hint="cs"/>
                <w:rtl/>
              </w:rPr>
              <w:lastRenderedPageBreak/>
              <w:t xml:space="preserve">הנאשם לפגוע בה, ג.ג שהיתה בת 11 כאשר הנאשם פגע בה וד.ד שהיתה בת 12 שהנאשם החל לפגוע בה; כך גם פער הגילים המשמעותי בין הנאשם לבינן; ומעמדו כדוד ובמקרה של ד.ד כחבר קרוב של הוריה. </w:t>
            </w:r>
          </w:p>
          <w:p w:rsidR="00670289" w:rsidRDefault="00670289" w:rsidP="00670289">
            <w:pPr>
              <w:pStyle w:val="a0"/>
              <w:jc w:val="both"/>
            </w:pPr>
            <w:r>
              <w:rPr>
                <w:rFonts w:hint="cs"/>
                <w:rtl/>
              </w:rPr>
              <w:t xml:space="preserve">חומרת העבירה של מעשה מגונה בקטינה בת משפחה נלמדת גם מהעונש המרבי הקבוע לצידה העומד על 15 שנות מאסר, וכן מהעונש המזערי הקבוע בסעיף 355 לחוק המורה שהעונש בעבירות מין מסוג זה לא יפחת מרבע העונש המרבי, אלא אם כן קיימים טעמים מיוחדים שיירשמו, להקל בעונשו. במקרה זה עונש המינימום, לכל אחד מהאישומים הראשון והשני, עומד על 3 שנים ו-9 חודשי מאסר (45 חודשים), באישום השלישי העונש המזערי עומד על שנה ותשעה חודשים, ובאישום הרביעי על שנתיים וחצי. בקביעת עונש המינימום, גילה המחוקק את דעתו, כי יש לראות את חומרת העבירה כמצדיקה הטלת עונש מזערי, אלא בהתקיימם של טעמים מיוחדים להקל בעונש (כב' השופט נ' סולברג בע"פ 8500/22 </w:t>
            </w:r>
            <w:r>
              <w:rPr>
                <w:rFonts w:hint="cs"/>
                <w:b/>
                <w:bCs/>
                <w:rtl/>
              </w:rPr>
              <w:t>אביטבול נ' מדינת ישראל</w:t>
            </w:r>
            <w:r>
              <w:rPr>
                <w:rFonts w:hint="cs"/>
                <w:rtl/>
              </w:rPr>
              <w:t xml:space="preserve"> (10.7.2023); וראו גם דברי כב' השופט א' שטיין בע"פ 3565/22 </w:t>
            </w:r>
            <w:r>
              <w:rPr>
                <w:rFonts w:hint="cs"/>
                <w:b/>
                <w:bCs/>
                <w:rtl/>
              </w:rPr>
              <w:t>פלוני נ' מדינת ישראל</w:t>
            </w:r>
            <w:r>
              <w:rPr>
                <w:rFonts w:hint="cs"/>
                <w:rtl/>
              </w:rPr>
              <w:t>, פיסקה 25 (9.8.2023)).</w:t>
            </w:r>
          </w:p>
          <w:p w:rsidR="00670289" w:rsidRDefault="00670289" w:rsidP="00670289">
            <w:pPr>
              <w:pStyle w:val="a0"/>
              <w:numPr>
                <w:ilvl w:val="0"/>
                <w:numId w:val="0"/>
              </w:numPr>
              <w:tabs>
                <w:tab w:val="left" w:pos="720"/>
              </w:tabs>
              <w:ind w:left="720"/>
              <w:jc w:val="both"/>
            </w:pPr>
            <w:r>
              <w:rPr>
                <w:rFonts w:hint="cs"/>
                <w:rtl/>
              </w:rPr>
              <w:t xml:space="preserve">לעונש המזערי שקבע המחוקק ראוי גם שתהיה השפעה על מתחם העונש ההולם, כך שככלל הרף התחתון של מתחם העונש ההולם לא יהיה נמוך מהעונש המזערי שקבע המחוקק, אלא אם קיימים טעמים מיוחדים שיצדיקו קביעת רף תחתון נמוך יותר (ע"פ 1288/17 </w:t>
            </w:r>
            <w:r>
              <w:rPr>
                <w:rFonts w:hint="cs"/>
                <w:b/>
                <w:bCs/>
                <w:rtl/>
              </w:rPr>
              <w:t>מדינת ישראל נ' שנהר</w:t>
            </w:r>
            <w:r>
              <w:rPr>
                <w:rFonts w:hint="cs"/>
                <w:rtl/>
              </w:rPr>
              <w:t xml:space="preserve"> (3.10.2017); כב' השופט סולברג בע"פ 4876/15 </w:t>
            </w:r>
            <w:r>
              <w:rPr>
                <w:rFonts w:hint="cs"/>
                <w:b/>
                <w:bCs/>
                <w:rtl/>
              </w:rPr>
              <w:t>פלוני נ' מדינת ישראל</w:t>
            </w:r>
            <w:r>
              <w:rPr>
                <w:rFonts w:hint="cs"/>
                <w:rtl/>
              </w:rPr>
              <w:t xml:space="preserve"> (3.12.2015); כב' השופט אלרון בע"פ 5617/19 </w:t>
            </w:r>
            <w:r>
              <w:rPr>
                <w:rFonts w:hint="cs"/>
                <w:b/>
                <w:bCs/>
                <w:rtl/>
              </w:rPr>
              <w:t>מדינת ישראל נ' פלוני</w:t>
            </w:r>
            <w:r>
              <w:rPr>
                <w:rFonts w:hint="cs"/>
                <w:rtl/>
              </w:rPr>
              <w:t xml:space="preserve"> (26.8.2021)). זאת הגם שהעונש המזערי מתייחס הן לרכיב המאסר בפועל והן לרכיב המאסר על תנאי, ואילו הרף התחתון של מתחם העונש ההולם מתייחס, ככלל בעבירות מסוג זה, לרכיב המאסר בפועל בלבד.</w:t>
            </w:r>
          </w:p>
          <w:p w:rsidR="00670289" w:rsidRPr="008E757A" w:rsidRDefault="00670289" w:rsidP="00670289">
            <w:pPr>
              <w:pStyle w:val="a0"/>
              <w:jc w:val="both"/>
              <w:rPr>
                <w:rStyle w:val="default"/>
                <w:rFonts w:ascii="David" w:hAnsi="David" w:cs="David"/>
                <w:sz w:val="24"/>
                <w:szCs w:val="24"/>
                <w:rtl/>
              </w:rPr>
            </w:pPr>
            <w:r w:rsidRPr="008E757A">
              <w:rPr>
                <w:rtl/>
              </w:rPr>
              <w:t xml:space="preserve">במסגרת </w:t>
            </w:r>
            <w:r w:rsidRPr="008E757A">
              <w:rPr>
                <w:b/>
                <w:bCs/>
                <w:rtl/>
              </w:rPr>
              <w:t>הנסיבות הקשורות בביצוע העבירה</w:t>
            </w:r>
            <w:r w:rsidRPr="008E757A">
              <w:rPr>
                <w:rtl/>
              </w:rPr>
              <w:t>, יש לתת את הדעת</w:t>
            </w:r>
            <w:r w:rsidRPr="008E757A">
              <w:rPr>
                <w:rStyle w:val="default"/>
                <w:rFonts w:ascii="David" w:hAnsi="David" w:cs="David"/>
                <w:sz w:val="24"/>
                <w:szCs w:val="24"/>
                <w:rtl/>
              </w:rPr>
              <w:t xml:space="preserve"> לכך שהנאשם ביצע סדרה של </w:t>
            </w:r>
            <w:r w:rsidRPr="008E757A">
              <w:rPr>
                <w:rtl/>
              </w:rPr>
              <w:t>מעשים</w:t>
            </w:r>
            <w:r w:rsidRPr="008E757A">
              <w:rPr>
                <w:rStyle w:val="default"/>
                <w:rFonts w:ascii="David" w:hAnsi="David" w:cs="David"/>
                <w:sz w:val="24"/>
                <w:szCs w:val="24"/>
                <w:rtl/>
              </w:rPr>
              <w:t xml:space="preserve"> מגונים לאורך שנים כלפי ארבע נפגעות עבירה, תוך שניצל את גילן הצעיר, קרבתו אליהן ואת האמון שניתן לו על ידי הקטינות ועל ידי הוריהן. הנאשם פעל באופן מניפולטיבי ולעיתים אף בנוכחות בני משפחה נוספים, כאשר נגע בגופן ובחזן של הקטינות מתחת לבגדיהן. כלפי א.א ביצע מעשים דומים בכ-20 הזדמנויות מאז היתה בת 12 ועד שמלאו לה 16, כאשר שב והכניס ידו מתחת לבגדיה וליטף את חזה. כלפי ב.ב ביצע מעשים מגונים מאז היתה בת 7 ועד שמלאו לה 12, במספר הזדמנויות שבהן הכניס ידו מתחת לחולצתה ונגע בחזה. כלפי ג.ג ביצע מעשה מגונה אחד, אף הוא בליטוף חזה מתחת לבגדיה כאשר היתה כבת 11. וכלפי ד.ד ביצע מעשים מגונים במספר הזדמנויות שכללו ליטוף ירכה וליטוף חזה מתחת לחולצתה, כך מגיל 12 ועד שמלאו לה 13.</w:t>
            </w:r>
          </w:p>
          <w:p w:rsidR="00670289" w:rsidRPr="008E757A" w:rsidRDefault="00670289" w:rsidP="00670289">
            <w:pPr>
              <w:pStyle w:val="a0"/>
              <w:numPr>
                <w:ilvl w:val="0"/>
                <w:numId w:val="0"/>
              </w:numPr>
              <w:tabs>
                <w:tab w:val="left" w:pos="720"/>
              </w:tabs>
              <w:ind w:left="720"/>
              <w:jc w:val="both"/>
              <w:rPr>
                <w:rStyle w:val="default"/>
                <w:rFonts w:ascii="David" w:hAnsi="David" w:cs="David"/>
                <w:sz w:val="24"/>
                <w:szCs w:val="24"/>
                <w:rtl/>
              </w:rPr>
            </w:pPr>
            <w:r w:rsidRPr="008E757A">
              <w:rPr>
                <w:rStyle w:val="default"/>
                <w:rFonts w:ascii="David" w:hAnsi="David" w:cs="David"/>
                <w:sz w:val="24"/>
                <w:szCs w:val="24"/>
                <w:rtl/>
              </w:rPr>
              <w:t>נראה שמעשיו בוצעו לאחר תכנון שכלל את נוכחותו לצד הקטינות לבד או בקרבת בני משפחה נוספים, באופן שיכול היה לנצל את קרבתן הפיזית לשם ביצע זממו בהן.</w:t>
            </w:r>
          </w:p>
          <w:p w:rsidR="00670289" w:rsidRPr="008E757A" w:rsidRDefault="00670289" w:rsidP="001A3D5C">
            <w:pPr>
              <w:pStyle w:val="a0"/>
              <w:numPr>
                <w:ilvl w:val="0"/>
                <w:numId w:val="0"/>
              </w:numPr>
              <w:tabs>
                <w:tab w:val="left" w:pos="720"/>
              </w:tabs>
              <w:ind w:left="720"/>
              <w:jc w:val="both"/>
              <w:rPr>
                <w:rStyle w:val="default"/>
                <w:rFonts w:ascii="David" w:hAnsi="David" w:cs="David"/>
                <w:sz w:val="24"/>
                <w:szCs w:val="24"/>
                <w:rtl/>
              </w:rPr>
            </w:pPr>
            <w:r w:rsidRPr="008E757A">
              <w:rPr>
                <w:rStyle w:val="default"/>
                <w:rFonts w:ascii="David" w:hAnsi="David" w:cs="David"/>
                <w:sz w:val="24"/>
                <w:szCs w:val="24"/>
                <w:rtl/>
              </w:rPr>
              <w:t xml:space="preserve">הנזק שנגרם לשלוש האחיות: א.א, ב.ב וג.ג הוא רב ומפורט בתסקיר נפגעות העבירה. </w:t>
            </w:r>
            <w:r w:rsidR="001A3D5C">
              <w:rPr>
                <w:rStyle w:val="default"/>
                <w:rFonts w:ascii="David" w:hAnsi="David" w:cs="David" w:hint="cs"/>
                <w:sz w:val="24"/>
                <w:szCs w:val="24"/>
                <w:rtl/>
              </w:rPr>
              <w:t>[</w:t>
            </w:r>
            <w:r w:rsidR="001A3D5C" w:rsidRPr="001A3D5C">
              <w:rPr>
                <w:rStyle w:val="default"/>
                <w:rFonts w:ascii="David" w:hAnsi="David" w:cs="David" w:hint="cs"/>
                <w:b/>
                <w:bCs/>
                <w:sz w:val="24"/>
                <w:szCs w:val="24"/>
                <w:rtl/>
              </w:rPr>
              <w:t>הושמט</w:t>
            </w:r>
            <w:r w:rsidR="001A3D5C">
              <w:rPr>
                <w:rStyle w:val="default"/>
                <w:rFonts w:ascii="David" w:hAnsi="David" w:cs="David" w:hint="cs"/>
                <w:sz w:val="24"/>
                <w:szCs w:val="24"/>
                <w:rtl/>
              </w:rPr>
              <w:t>].</w:t>
            </w:r>
          </w:p>
          <w:p w:rsidR="00670289" w:rsidRPr="008E757A" w:rsidRDefault="00670289" w:rsidP="001A3D5C">
            <w:pPr>
              <w:pStyle w:val="a0"/>
              <w:numPr>
                <w:ilvl w:val="0"/>
                <w:numId w:val="0"/>
              </w:numPr>
              <w:tabs>
                <w:tab w:val="left" w:pos="720"/>
              </w:tabs>
              <w:ind w:left="720"/>
              <w:jc w:val="both"/>
              <w:rPr>
                <w:rStyle w:val="default"/>
                <w:rFonts w:ascii="David" w:hAnsi="David" w:cs="David"/>
                <w:sz w:val="24"/>
                <w:szCs w:val="24"/>
                <w:rtl/>
              </w:rPr>
            </w:pPr>
            <w:r w:rsidRPr="008E757A">
              <w:rPr>
                <w:rStyle w:val="default"/>
                <w:rFonts w:ascii="David" w:hAnsi="David" w:cs="David"/>
                <w:sz w:val="24"/>
                <w:szCs w:val="24"/>
                <w:rtl/>
              </w:rPr>
              <w:t xml:space="preserve">הנזק שנגרם לד.ד </w:t>
            </w:r>
            <w:r w:rsidR="001A3D5C">
              <w:rPr>
                <w:rStyle w:val="default"/>
                <w:rFonts w:ascii="David" w:hAnsi="David" w:cs="David" w:hint="cs"/>
                <w:sz w:val="24"/>
                <w:szCs w:val="24"/>
                <w:rtl/>
              </w:rPr>
              <w:t>[</w:t>
            </w:r>
            <w:r w:rsidR="001A3D5C" w:rsidRPr="001A3D5C">
              <w:rPr>
                <w:rStyle w:val="default"/>
                <w:rFonts w:ascii="David" w:hAnsi="David" w:cs="David" w:hint="cs"/>
                <w:b/>
                <w:bCs/>
                <w:sz w:val="24"/>
                <w:szCs w:val="24"/>
                <w:rtl/>
              </w:rPr>
              <w:t>הושמט</w:t>
            </w:r>
            <w:r w:rsidR="001A3D5C">
              <w:rPr>
                <w:rStyle w:val="default"/>
                <w:rFonts w:ascii="David" w:hAnsi="David" w:cs="David" w:hint="cs"/>
                <w:sz w:val="24"/>
                <w:szCs w:val="24"/>
                <w:rtl/>
              </w:rPr>
              <w:t>]</w:t>
            </w:r>
            <w:r w:rsidR="001A3D5C">
              <w:rPr>
                <w:rStyle w:val="default"/>
                <w:rFonts w:ascii="David" w:hAnsi="David" w:cs="David" w:hint="cs"/>
                <w:sz w:val="24"/>
                <w:szCs w:val="24"/>
              </w:rPr>
              <w:t xml:space="preserve"> </w:t>
            </w:r>
            <w:r w:rsidRPr="008E757A">
              <w:rPr>
                <w:rStyle w:val="default"/>
                <w:rFonts w:ascii="David" w:hAnsi="David" w:cs="David"/>
                <w:sz w:val="24"/>
                <w:szCs w:val="24"/>
                <w:rtl/>
              </w:rPr>
              <w:t xml:space="preserve">. </w:t>
            </w:r>
          </w:p>
          <w:p w:rsidR="00670289" w:rsidRPr="008E757A" w:rsidRDefault="00670289" w:rsidP="00670289">
            <w:pPr>
              <w:pStyle w:val="a0"/>
              <w:numPr>
                <w:ilvl w:val="0"/>
                <w:numId w:val="0"/>
              </w:numPr>
              <w:tabs>
                <w:tab w:val="left" w:pos="720"/>
              </w:tabs>
              <w:ind w:left="720"/>
              <w:jc w:val="both"/>
              <w:rPr>
                <w:rStyle w:val="default"/>
                <w:rFonts w:ascii="David" w:hAnsi="David" w:cs="David"/>
                <w:sz w:val="24"/>
                <w:szCs w:val="24"/>
                <w:rtl/>
              </w:rPr>
            </w:pPr>
            <w:r w:rsidRPr="008E757A">
              <w:rPr>
                <w:rStyle w:val="default"/>
                <w:rFonts w:ascii="David" w:hAnsi="David" w:cs="David"/>
                <w:sz w:val="24"/>
                <w:szCs w:val="24"/>
                <w:rtl/>
              </w:rPr>
              <w:lastRenderedPageBreak/>
              <w:t xml:space="preserve">מעבר לפגיעות הישירות בנפגעות העבירה, עולה תמונת נזק למשפחתן הגרעינית והמורחבת הקשורות בתחושת בגידה באמון שנתנו ההורים בנאשם, קרע שנוצר במשפחה המורחבת ומול הקהילה שאליה השתייכו. </w:t>
            </w:r>
          </w:p>
          <w:p w:rsidR="00670289" w:rsidRPr="008E757A" w:rsidRDefault="00670289" w:rsidP="00670289">
            <w:pPr>
              <w:pStyle w:val="a0"/>
              <w:numPr>
                <w:ilvl w:val="0"/>
                <w:numId w:val="0"/>
              </w:numPr>
              <w:tabs>
                <w:tab w:val="left" w:pos="720"/>
              </w:tabs>
              <w:ind w:left="720"/>
              <w:jc w:val="both"/>
              <w:rPr>
                <w:rStyle w:val="default"/>
                <w:rFonts w:ascii="David" w:hAnsi="David" w:cs="David"/>
                <w:sz w:val="24"/>
                <w:szCs w:val="24"/>
                <w:rtl/>
              </w:rPr>
            </w:pPr>
            <w:r w:rsidRPr="008E757A">
              <w:rPr>
                <w:rStyle w:val="default"/>
                <w:rFonts w:ascii="David" w:hAnsi="David" w:cs="David"/>
                <w:sz w:val="24"/>
                <w:szCs w:val="24"/>
                <w:rtl/>
              </w:rPr>
              <w:t xml:space="preserve">בית המשפט העליון קבע לא אחת כי לנזק המובנה בעבירות מסוג זה יש לתת משקל משמעתי בקביעת העונש (ע"פ 7880/19 </w:t>
            </w:r>
            <w:r w:rsidRPr="008E757A">
              <w:rPr>
                <w:rStyle w:val="default"/>
                <w:rFonts w:ascii="David" w:hAnsi="David" w:cs="David"/>
                <w:b/>
                <w:bCs/>
                <w:sz w:val="24"/>
                <w:szCs w:val="24"/>
                <w:rtl/>
              </w:rPr>
              <w:t>פלוני נ' מדינת ישראל</w:t>
            </w:r>
            <w:r w:rsidRPr="008E757A">
              <w:rPr>
                <w:rStyle w:val="default"/>
                <w:rFonts w:ascii="David" w:hAnsi="David" w:cs="David"/>
                <w:sz w:val="24"/>
                <w:szCs w:val="24"/>
                <w:rtl/>
              </w:rPr>
              <w:t xml:space="preserve"> (2.8.2022); ע"פ 9036/18 </w:t>
            </w:r>
            <w:r w:rsidRPr="008E757A">
              <w:rPr>
                <w:rStyle w:val="default"/>
                <w:rFonts w:ascii="David" w:hAnsi="David" w:cs="David"/>
                <w:b/>
                <w:bCs/>
                <w:sz w:val="24"/>
                <w:szCs w:val="24"/>
                <w:rtl/>
              </w:rPr>
              <w:t>פלוני נ' מדינת ישראל</w:t>
            </w:r>
            <w:r w:rsidRPr="008E757A">
              <w:rPr>
                <w:rStyle w:val="default"/>
                <w:rFonts w:ascii="David" w:hAnsi="David" w:cs="David"/>
                <w:sz w:val="24"/>
                <w:szCs w:val="24"/>
                <w:rtl/>
              </w:rPr>
              <w:t xml:space="preserve"> (27.1.2020)).</w:t>
            </w:r>
          </w:p>
          <w:p w:rsidR="00670289" w:rsidRPr="008E757A" w:rsidRDefault="00670289" w:rsidP="00670289">
            <w:pPr>
              <w:pStyle w:val="a0"/>
              <w:numPr>
                <w:ilvl w:val="0"/>
                <w:numId w:val="0"/>
              </w:numPr>
              <w:tabs>
                <w:tab w:val="left" w:pos="720"/>
              </w:tabs>
              <w:ind w:left="720"/>
              <w:jc w:val="both"/>
              <w:rPr>
                <w:rStyle w:val="default"/>
                <w:rFonts w:ascii="David" w:hAnsi="David" w:cs="David"/>
                <w:sz w:val="24"/>
                <w:szCs w:val="24"/>
                <w:rtl/>
              </w:rPr>
            </w:pPr>
            <w:r w:rsidRPr="008E757A">
              <w:rPr>
                <w:rStyle w:val="default"/>
                <w:rFonts w:ascii="David" w:hAnsi="David" w:cs="David"/>
                <w:sz w:val="24"/>
                <w:szCs w:val="24"/>
                <w:rtl/>
              </w:rPr>
              <w:t xml:space="preserve">הנאשם ביצע את העבירות לשם סיפוק מאווייו המיניים תוך ניצול תמימותן וללא שנתן את דעתו לנזק שגורם להן. </w:t>
            </w:r>
          </w:p>
          <w:p w:rsidR="00670289" w:rsidRPr="008E757A" w:rsidRDefault="00670289" w:rsidP="00670289">
            <w:pPr>
              <w:pStyle w:val="a0"/>
              <w:jc w:val="both"/>
              <w:rPr>
                <w:rtl/>
              </w:rPr>
            </w:pPr>
            <w:r w:rsidRPr="008E757A">
              <w:rPr>
                <w:rtl/>
              </w:rPr>
              <w:t xml:space="preserve">בחינת </w:t>
            </w:r>
            <w:r w:rsidRPr="008E757A">
              <w:rPr>
                <w:b/>
                <w:bCs/>
                <w:rtl/>
              </w:rPr>
              <w:t>מדיניות הענישה הנוהגת</w:t>
            </w:r>
            <w:r w:rsidRPr="008E757A">
              <w:rPr>
                <w:rtl/>
              </w:rPr>
              <w:t xml:space="preserve"> מעלה כי על פי רוב המעשים המגונים שבגינן נדונו נאשמים כללו גם נגיעות באיבר המין של נפגעת העבירה ולעתים אף חיכוך איבר המין של הנאשם בגופה, ובכך הם חמורים יותר מהמקרה הנוכחי. לעומת זאת, באותם מקרים מספר נפגעות העבירה היה נמוך יותר מהמקרה הנוכחי (הגם שבמקרה הנוכחי ייקבע מתחם נפרד בנוגע לכל נפגעת עבירה). במקרים הדומים ככל הניתן הוטלו על נאשמים עונשי מאסר במנעד רחב כמפורט להלן:</w:t>
            </w:r>
          </w:p>
          <w:p w:rsidR="00670289" w:rsidRPr="008E757A" w:rsidRDefault="00670289" w:rsidP="00670289">
            <w:pPr>
              <w:pStyle w:val="a"/>
              <w:numPr>
                <w:ilvl w:val="1"/>
                <w:numId w:val="2"/>
              </w:numPr>
              <w:tabs>
                <w:tab w:val="left" w:pos="720"/>
              </w:tabs>
              <w:ind w:left="1274" w:right="0" w:hanging="567"/>
              <w:jc w:val="both"/>
              <w:rPr>
                <w:rStyle w:val="default"/>
                <w:rFonts w:ascii="David" w:hAnsi="David" w:cs="David"/>
                <w:sz w:val="24"/>
                <w:szCs w:val="24"/>
              </w:rPr>
            </w:pPr>
            <w:r w:rsidRPr="008E757A">
              <w:rPr>
                <w:rStyle w:val="default"/>
                <w:rFonts w:ascii="David" w:hAnsi="David" w:cs="David"/>
                <w:sz w:val="24"/>
                <w:szCs w:val="24"/>
                <w:rtl/>
              </w:rPr>
              <w:t xml:space="preserve">בע"פ 5813/22 </w:t>
            </w:r>
            <w:r w:rsidRPr="008E757A">
              <w:rPr>
                <w:rStyle w:val="default"/>
                <w:rFonts w:ascii="David" w:hAnsi="David" w:cs="David"/>
                <w:b/>
                <w:bCs/>
                <w:sz w:val="24"/>
                <w:szCs w:val="24"/>
                <w:rtl/>
              </w:rPr>
              <w:t>ון סטרטן נ' מדינת ישראל</w:t>
            </w:r>
            <w:r w:rsidRPr="008E757A">
              <w:rPr>
                <w:rStyle w:val="default"/>
                <w:rFonts w:ascii="David" w:hAnsi="David" w:cs="David"/>
                <w:sz w:val="24"/>
                <w:szCs w:val="24"/>
                <w:rtl/>
              </w:rPr>
              <w:t xml:space="preserve"> (22.2.2023), דחה בית המשפט העליון ערעור נאשם אשר הורשע על פי הודאתו בעבירות של מעשה מגונה בקטינה בת משפחה כלפי שלוש נכדותיו. בית המשפט קבע מתחמי עונש נפרדים ביחס לפגיעות כלפי כל נכדה. בשני אישומים הנוגעים לנכדה הראשונה, נישק הנאשם את נכדתו על פיה, הכניס את ידו מתחת לתחתוניה ונגע בישבנה ובאיבר מינה למספר שניות. בהזדמנות אחרת, קרא הנאשם לנכדתו לשבת עליו, הכניס את ידו מתחת לתחתוניה ונגע בישבנה. כלפי נכדה שניה, חיבק אותה ונישק אותה על פיה. כלפי הנכדה השלישית הנאשם נגע בישבנה מעל לבגדיה חמש פעמים. בית המשפט קבע מתחם עונש ביחס לעבירות שביצע הנאשם בנכדה הראשונה, </w:t>
            </w:r>
            <w:r w:rsidRPr="008E757A">
              <w:rPr>
                <w:rStyle w:val="default"/>
                <w:rFonts w:ascii="David" w:hAnsi="David" w:cs="David"/>
                <w:b/>
                <w:bCs/>
                <w:sz w:val="24"/>
                <w:szCs w:val="24"/>
                <w:rtl/>
              </w:rPr>
              <w:t>הנע בין 30 ל-60 חודשי מאסר בפועל</w:t>
            </w:r>
            <w:r w:rsidRPr="008E757A">
              <w:rPr>
                <w:rStyle w:val="default"/>
                <w:rFonts w:ascii="David" w:hAnsi="David" w:cs="David"/>
                <w:sz w:val="24"/>
                <w:szCs w:val="24"/>
                <w:rtl/>
              </w:rPr>
              <w:t xml:space="preserve">. ביחס לפגיעות בנכדות האחרות, </w:t>
            </w:r>
            <w:r w:rsidRPr="008E757A">
              <w:rPr>
                <w:rStyle w:val="default"/>
                <w:rFonts w:ascii="David" w:hAnsi="David" w:cs="David"/>
                <w:b/>
                <w:bCs/>
                <w:sz w:val="24"/>
                <w:szCs w:val="24"/>
                <w:rtl/>
              </w:rPr>
              <w:t>קבע מתחמים שבין 6 ו-12 חודשים, ובין 15 ל-30 חודשים</w:t>
            </w:r>
            <w:r w:rsidRPr="008E757A">
              <w:rPr>
                <w:rStyle w:val="default"/>
                <w:rFonts w:ascii="David" w:hAnsi="David" w:cs="David"/>
                <w:sz w:val="24"/>
                <w:szCs w:val="24"/>
                <w:rtl/>
              </w:rPr>
              <w:t xml:space="preserve">. הנאשם אדם מבוגר, ללא עבר פלילי ששולב בטיפול, נדון לעונש של </w:t>
            </w:r>
            <w:r w:rsidRPr="008E757A">
              <w:rPr>
                <w:rStyle w:val="default"/>
                <w:rFonts w:ascii="David" w:hAnsi="David" w:cs="David"/>
                <w:b/>
                <w:bCs/>
                <w:sz w:val="24"/>
                <w:szCs w:val="24"/>
                <w:rtl/>
              </w:rPr>
              <w:t>58 חודשי מאסר בפועל</w:t>
            </w:r>
            <w:r w:rsidRPr="008E757A">
              <w:rPr>
                <w:rStyle w:val="default"/>
                <w:rFonts w:ascii="David" w:hAnsi="David" w:cs="David"/>
                <w:sz w:val="24"/>
                <w:szCs w:val="24"/>
                <w:rtl/>
              </w:rPr>
              <w:t xml:space="preserve"> (ראו גם תפ"ח (מחוזי מר') 62119-10-20 </w:t>
            </w:r>
            <w:r w:rsidRPr="008E757A">
              <w:rPr>
                <w:rStyle w:val="default"/>
                <w:rFonts w:ascii="David" w:hAnsi="David" w:cs="David"/>
                <w:b/>
                <w:bCs/>
                <w:sz w:val="24"/>
                <w:szCs w:val="24"/>
                <w:rtl/>
              </w:rPr>
              <w:t>מדינת ישראל נ' פלוני</w:t>
            </w:r>
            <w:r w:rsidRPr="008E757A">
              <w:rPr>
                <w:rStyle w:val="default"/>
                <w:rFonts w:ascii="David" w:hAnsi="David" w:cs="David"/>
                <w:sz w:val="24"/>
                <w:szCs w:val="24"/>
                <w:rtl/>
              </w:rPr>
              <w:t xml:space="preserve"> (2.8.2022)). </w:t>
            </w:r>
          </w:p>
          <w:p w:rsidR="00670289" w:rsidRPr="008E757A" w:rsidRDefault="00670289" w:rsidP="00670289">
            <w:pPr>
              <w:pStyle w:val="a"/>
              <w:numPr>
                <w:ilvl w:val="1"/>
                <w:numId w:val="2"/>
              </w:numPr>
              <w:tabs>
                <w:tab w:val="left" w:pos="720"/>
              </w:tabs>
              <w:ind w:left="1274" w:right="0" w:hanging="567"/>
              <w:jc w:val="both"/>
              <w:rPr>
                <w:rFonts w:ascii="David" w:hAnsi="David"/>
              </w:rPr>
            </w:pPr>
            <w:r w:rsidRPr="008E757A">
              <w:rPr>
                <w:rFonts w:ascii="David" w:hAnsi="David"/>
                <w:rtl/>
              </w:rPr>
              <w:t xml:space="preserve">בע"פ 8827/20 </w:t>
            </w:r>
            <w:r w:rsidRPr="008E757A">
              <w:rPr>
                <w:rFonts w:ascii="David" w:hAnsi="David"/>
                <w:b/>
                <w:bCs/>
                <w:rtl/>
              </w:rPr>
              <w:t xml:space="preserve">פלוני נ' מדינת ישראל </w:t>
            </w:r>
            <w:r w:rsidRPr="008E757A">
              <w:rPr>
                <w:rFonts w:ascii="David" w:hAnsi="David"/>
                <w:rtl/>
              </w:rPr>
              <w:t xml:space="preserve">(10.7.2022) (הוגש על ידי ההגנה) נדחה ערעורו של נאשם אשר הורשע, לאחר שמיעת ראיות, בריבוי עבירות של מעשים מגונים שביצע בשלוש קרובות משפחה, שתיים מהן אחיות בעת שהיו קטינות, ועל פני תקופת זמן של כ-13 שנים (לא פורטו המעשים המדויקים). בית המשפט המחוזי קבע מתחם נפרד ביחס לכל נפגעת עבירה, שבין </w:t>
            </w:r>
            <w:r w:rsidRPr="008E757A">
              <w:rPr>
                <w:rFonts w:ascii="David" w:hAnsi="David"/>
                <w:b/>
                <w:bCs/>
                <w:rtl/>
              </w:rPr>
              <w:t>6 עד 20 חודשי מאסר</w:t>
            </w:r>
            <w:r w:rsidRPr="008E757A">
              <w:rPr>
                <w:rFonts w:ascii="David" w:hAnsi="David"/>
                <w:rtl/>
              </w:rPr>
              <w:t xml:space="preserve"> לאישום הראשון</w:t>
            </w:r>
            <w:r w:rsidRPr="008E757A">
              <w:rPr>
                <w:rFonts w:ascii="David" w:hAnsi="David"/>
                <w:b/>
                <w:bCs/>
                <w:rtl/>
              </w:rPr>
              <w:t>; 4 עד 8 שנות מאסר</w:t>
            </w:r>
            <w:r w:rsidRPr="008E757A">
              <w:rPr>
                <w:rFonts w:ascii="David" w:hAnsi="David"/>
                <w:rtl/>
              </w:rPr>
              <w:t xml:space="preserve"> לאישום השני; </w:t>
            </w:r>
            <w:r w:rsidRPr="008E757A">
              <w:rPr>
                <w:rFonts w:ascii="David" w:hAnsi="David"/>
                <w:b/>
                <w:bCs/>
                <w:rtl/>
              </w:rPr>
              <w:t>18 עד 36 חודשי מאסר</w:t>
            </w:r>
            <w:r w:rsidRPr="008E757A">
              <w:rPr>
                <w:rFonts w:ascii="David" w:hAnsi="David"/>
                <w:rtl/>
              </w:rPr>
              <w:t xml:space="preserve"> בגין האישום השלישי. הנאשם ללא עבר פלילי, אשר לא לקח אחריות, </w:t>
            </w:r>
            <w:r w:rsidRPr="008E757A">
              <w:rPr>
                <w:rFonts w:ascii="David" w:hAnsi="David"/>
                <w:b/>
                <w:bCs/>
                <w:rtl/>
              </w:rPr>
              <w:t>נדון ל-4.5 שנות מאסר בפועל</w:t>
            </w:r>
            <w:r w:rsidRPr="008E757A">
              <w:rPr>
                <w:rFonts w:ascii="David" w:hAnsi="David"/>
                <w:rtl/>
              </w:rPr>
              <w:t xml:space="preserve">. </w:t>
            </w:r>
          </w:p>
          <w:p w:rsidR="00670289" w:rsidRPr="008E757A" w:rsidRDefault="00670289" w:rsidP="00670289">
            <w:pPr>
              <w:pStyle w:val="a"/>
              <w:numPr>
                <w:ilvl w:val="1"/>
                <w:numId w:val="2"/>
              </w:numPr>
              <w:tabs>
                <w:tab w:val="left" w:pos="720"/>
              </w:tabs>
              <w:ind w:left="1274" w:right="0" w:hanging="567"/>
              <w:jc w:val="both"/>
              <w:rPr>
                <w:rFonts w:ascii="David" w:hAnsi="David"/>
              </w:rPr>
            </w:pPr>
            <w:r w:rsidRPr="008E757A">
              <w:rPr>
                <w:rFonts w:ascii="David" w:eastAsia="Calibri" w:hAnsi="David"/>
                <w:rtl/>
              </w:rPr>
              <w:lastRenderedPageBreak/>
              <w:t xml:space="preserve">בע"פ 5421/12 </w:t>
            </w:r>
            <w:r w:rsidRPr="008E757A">
              <w:rPr>
                <w:rFonts w:ascii="David" w:eastAsia="Calibri" w:hAnsi="David"/>
                <w:b/>
                <w:bCs/>
                <w:rtl/>
              </w:rPr>
              <w:t>פלוני נ' מדינת ישראל</w:t>
            </w:r>
            <w:r w:rsidRPr="008E757A">
              <w:rPr>
                <w:rFonts w:ascii="David" w:eastAsia="Calibri" w:hAnsi="David"/>
                <w:rtl/>
              </w:rPr>
              <w:t xml:space="preserve"> (29.8.2013) נדחה ערעורו של נאשם אשר הורשע בהתאם להודאתו במעשים מגונים בקטינה בת משפחה שביצע בנכדתו בגיל 11-9. במספר הזדמנויות, ליטף הנאשם ועיסה את חזה מתחת לגופייה; הכניס את ידו מתחת לתחתוניה של הקטינה, ליטף את איבר מינה; ליטף ועיסה את ישבנה; עיסה את חזהּ של הקטינה מעל הבגדים, ובהמשך מתחת לבגדיה; ליקק את אחת מאצבעותיו </w:t>
            </w:r>
            <w:r w:rsidRPr="008E757A">
              <w:rPr>
                <w:rStyle w:val="default"/>
                <w:rFonts w:ascii="David" w:hAnsi="David" w:cs="David"/>
                <w:sz w:val="24"/>
                <w:szCs w:val="24"/>
                <w:rtl/>
              </w:rPr>
              <w:t>ונגע</w:t>
            </w:r>
            <w:r w:rsidRPr="008E757A">
              <w:rPr>
                <w:rFonts w:ascii="David" w:eastAsia="Calibri" w:hAnsi="David"/>
                <w:rtl/>
              </w:rPr>
              <w:t xml:space="preserve"> באיבר מינו.</w:t>
            </w:r>
            <w:r w:rsidRPr="008E757A">
              <w:rPr>
                <w:rFonts w:ascii="David" w:hAnsi="David"/>
                <w:rtl/>
              </w:rPr>
              <w:t xml:space="preserve"> הנאשם נדון לעונש של</w:t>
            </w:r>
            <w:r w:rsidRPr="008E757A">
              <w:rPr>
                <w:rFonts w:ascii="David" w:hAnsi="David"/>
                <w:b/>
                <w:bCs/>
                <w:rtl/>
              </w:rPr>
              <w:t xml:space="preserve"> 4 שנות מאסר בפועל</w:t>
            </w:r>
            <w:r w:rsidRPr="008E757A">
              <w:rPr>
                <w:rFonts w:ascii="David" w:hAnsi="David"/>
                <w:rtl/>
              </w:rPr>
              <w:t xml:space="preserve">. </w:t>
            </w:r>
          </w:p>
          <w:p w:rsidR="00670289" w:rsidRPr="008E757A" w:rsidRDefault="00670289" w:rsidP="00670289">
            <w:pPr>
              <w:pStyle w:val="a"/>
              <w:numPr>
                <w:ilvl w:val="1"/>
                <w:numId w:val="2"/>
              </w:numPr>
              <w:tabs>
                <w:tab w:val="left" w:pos="720"/>
              </w:tabs>
              <w:ind w:left="1274" w:right="0" w:hanging="567"/>
              <w:jc w:val="both"/>
              <w:rPr>
                <w:rFonts w:ascii="David" w:hAnsi="David"/>
              </w:rPr>
            </w:pPr>
            <w:r w:rsidRPr="008E757A">
              <w:rPr>
                <w:rFonts w:ascii="David" w:hAnsi="David"/>
                <w:rtl/>
              </w:rPr>
              <w:t xml:space="preserve">בע"פ 5347/15 </w:t>
            </w:r>
            <w:r w:rsidRPr="008E757A">
              <w:rPr>
                <w:rFonts w:ascii="David" w:hAnsi="David"/>
                <w:b/>
                <w:bCs/>
                <w:rtl/>
              </w:rPr>
              <w:t>פלוני נ' מדינת ישראל</w:t>
            </w:r>
            <w:r w:rsidRPr="008E757A">
              <w:rPr>
                <w:rFonts w:ascii="David" w:hAnsi="David"/>
                <w:rtl/>
              </w:rPr>
              <w:t xml:space="preserve"> (20.4.2016) נדחה ערעורו של נאשם שהורשע, לאחר ניהול הוכחות, בביצוע מעשים מגונים באחייניתו הקטינה ובחמותו. המעשים המגונים באחיינית בוצעו בשתי הזדמנויות, בכך שליטף את גופה ונגע באיבריה המוצנעים לרבות באיבר מינה. הנאשם ללא עבר פלילי. בגין המעשים בקטינה בלבד נקבע </w:t>
            </w:r>
            <w:r w:rsidRPr="008E757A">
              <w:rPr>
                <w:rFonts w:ascii="David" w:hAnsi="David"/>
                <w:b/>
                <w:bCs/>
                <w:rtl/>
              </w:rPr>
              <w:t>מתחם הנע בין 2.5 ל-4.5 שנות מאסר בפועל</w:t>
            </w:r>
            <w:r w:rsidRPr="008E757A">
              <w:rPr>
                <w:rFonts w:ascii="David" w:hAnsi="David"/>
                <w:rtl/>
              </w:rPr>
              <w:t>, ונגזרו על הנאשם</w:t>
            </w:r>
            <w:r w:rsidRPr="008E757A">
              <w:rPr>
                <w:rFonts w:ascii="David" w:hAnsi="David"/>
                <w:b/>
                <w:bCs/>
                <w:rtl/>
              </w:rPr>
              <w:t xml:space="preserve"> 3 שנות מאסר בפועל</w:t>
            </w:r>
            <w:r w:rsidRPr="008E757A">
              <w:rPr>
                <w:rFonts w:ascii="David" w:hAnsi="David"/>
                <w:rtl/>
              </w:rPr>
              <w:t>. בסך הכולל, כולל העבירות כלפי החמות, נדון הנאשם לעונש של</w:t>
            </w:r>
            <w:r w:rsidRPr="008E757A">
              <w:rPr>
                <w:rFonts w:ascii="David" w:hAnsi="David"/>
                <w:b/>
                <w:bCs/>
                <w:rtl/>
              </w:rPr>
              <w:t xml:space="preserve"> 3.5 שנות מאסר</w:t>
            </w:r>
            <w:r w:rsidRPr="008E757A">
              <w:rPr>
                <w:rFonts w:ascii="David" w:hAnsi="David"/>
                <w:rtl/>
              </w:rPr>
              <w:t xml:space="preserve">. </w:t>
            </w:r>
          </w:p>
          <w:p w:rsidR="00670289" w:rsidRPr="008E757A" w:rsidRDefault="00670289" w:rsidP="00670289">
            <w:pPr>
              <w:pStyle w:val="a"/>
              <w:numPr>
                <w:ilvl w:val="1"/>
                <w:numId w:val="2"/>
              </w:numPr>
              <w:tabs>
                <w:tab w:val="left" w:pos="720"/>
              </w:tabs>
              <w:ind w:left="1274" w:right="0" w:hanging="567"/>
              <w:jc w:val="both"/>
              <w:rPr>
                <w:rStyle w:val="default"/>
                <w:rFonts w:ascii="David" w:hAnsi="David" w:cs="David"/>
                <w:sz w:val="24"/>
                <w:szCs w:val="24"/>
              </w:rPr>
            </w:pPr>
            <w:r w:rsidRPr="008E757A">
              <w:rPr>
                <w:rStyle w:val="default"/>
                <w:rFonts w:ascii="David" w:hAnsi="David" w:cs="David"/>
                <w:sz w:val="24"/>
                <w:szCs w:val="24"/>
                <w:rtl/>
              </w:rPr>
              <w:t xml:space="preserve">בע"פ 6079/21 </w:t>
            </w:r>
            <w:r w:rsidRPr="008E757A">
              <w:rPr>
                <w:rStyle w:val="default"/>
                <w:rFonts w:ascii="David" w:hAnsi="David" w:cs="David"/>
                <w:b/>
                <w:bCs/>
                <w:sz w:val="24"/>
                <w:szCs w:val="24"/>
                <w:rtl/>
              </w:rPr>
              <w:t>פלוני נ' מדינת ישראל</w:t>
            </w:r>
            <w:r w:rsidRPr="008E757A">
              <w:rPr>
                <w:rStyle w:val="default"/>
                <w:rFonts w:ascii="David" w:hAnsi="David" w:cs="David"/>
                <w:sz w:val="24"/>
                <w:szCs w:val="24"/>
                <w:rtl/>
              </w:rPr>
              <w:t xml:space="preserve"> (21.12.2021) (הוגש על ידי ההגנה) נדחה ערעורו של נאשם אשר הורשע על פי הודאתו, בעבירות של מעשים מגונים בבן משפחה, באחיינו הקטין; וכן במעשים מגונים בשלושה קטינים נוספים. המעשים כללו נגיעות באיבר המין ובישבן. בית המשפט המחוזי קבע מתחם ביחס לכל נפגע עבירה, באישום הראשון בין </w:t>
            </w:r>
            <w:r w:rsidRPr="008E757A">
              <w:rPr>
                <w:rStyle w:val="default"/>
                <w:rFonts w:ascii="David" w:hAnsi="David" w:cs="David"/>
                <w:b/>
                <w:bCs/>
                <w:sz w:val="24"/>
                <w:szCs w:val="24"/>
                <w:rtl/>
              </w:rPr>
              <w:t>מספר חודשי עבודות שירות ועד שנת מאסר בפועל</w:t>
            </w:r>
            <w:r w:rsidRPr="008E757A">
              <w:rPr>
                <w:rStyle w:val="default"/>
                <w:rFonts w:ascii="David" w:hAnsi="David" w:cs="David"/>
                <w:sz w:val="24"/>
                <w:szCs w:val="24"/>
                <w:rtl/>
              </w:rPr>
              <w:t xml:space="preserve">; באישום השני </w:t>
            </w:r>
            <w:r w:rsidRPr="008E757A">
              <w:rPr>
                <w:rStyle w:val="default"/>
                <w:rFonts w:ascii="David" w:hAnsi="David" w:cs="David"/>
                <w:b/>
                <w:bCs/>
                <w:sz w:val="24"/>
                <w:szCs w:val="24"/>
                <w:rtl/>
              </w:rPr>
              <w:t>בין 18 עד 30 חודשי מאסר בפועל</w:t>
            </w:r>
            <w:r w:rsidRPr="008E757A">
              <w:rPr>
                <w:rStyle w:val="default"/>
                <w:rFonts w:ascii="David" w:hAnsi="David" w:cs="David"/>
                <w:sz w:val="24"/>
                <w:szCs w:val="24"/>
                <w:rtl/>
              </w:rPr>
              <w:t>; באישום השלישי,</w:t>
            </w:r>
            <w:r w:rsidRPr="008E757A">
              <w:rPr>
                <w:rStyle w:val="default"/>
                <w:rFonts w:ascii="David" w:hAnsi="David" w:cs="David"/>
                <w:b/>
                <w:bCs/>
                <w:sz w:val="24"/>
                <w:szCs w:val="24"/>
                <w:rtl/>
              </w:rPr>
              <w:t xml:space="preserve"> 1 עד 2 שנות מאסר בפועל</w:t>
            </w:r>
            <w:r w:rsidRPr="008E757A">
              <w:rPr>
                <w:rStyle w:val="default"/>
                <w:rFonts w:ascii="David" w:hAnsi="David" w:cs="David"/>
                <w:sz w:val="24"/>
                <w:szCs w:val="24"/>
                <w:rtl/>
              </w:rPr>
              <w:t xml:space="preserve">; ובאישום הרביעי, </w:t>
            </w:r>
            <w:r w:rsidRPr="008E757A">
              <w:rPr>
                <w:rStyle w:val="default"/>
                <w:rFonts w:ascii="David" w:hAnsi="David" w:cs="David"/>
                <w:b/>
                <w:bCs/>
                <w:sz w:val="24"/>
                <w:szCs w:val="24"/>
                <w:rtl/>
              </w:rPr>
              <w:t>מספר חודשי מאסר בפועל עד 18 חודשי מאסר בפועל</w:t>
            </w:r>
            <w:r w:rsidRPr="008E757A">
              <w:rPr>
                <w:rStyle w:val="default"/>
                <w:rFonts w:ascii="David" w:hAnsi="David" w:cs="David"/>
                <w:sz w:val="24"/>
                <w:szCs w:val="24"/>
                <w:rtl/>
              </w:rPr>
              <w:t xml:space="preserve">. נאשם ללא עבר פלילי, </w:t>
            </w:r>
            <w:r w:rsidRPr="008E757A">
              <w:rPr>
                <w:rStyle w:val="default"/>
                <w:rFonts w:ascii="David" w:hAnsi="David" w:cs="David"/>
                <w:b/>
                <w:bCs/>
                <w:sz w:val="24"/>
                <w:szCs w:val="24"/>
                <w:rtl/>
              </w:rPr>
              <w:t>נדון ל-36 חודשי מאסר בפועל</w:t>
            </w:r>
            <w:r w:rsidRPr="008E757A">
              <w:rPr>
                <w:rStyle w:val="default"/>
                <w:rFonts w:ascii="David" w:hAnsi="David" w:cs="David"/>
                <w:sz w:val="24"/>
                <w:szCs w:val="24"/>
                <w:rtl/>
              </w:rPr>
              <w:t xml:space="preserve">. </w:t>
            </w:r>
          </w:p>
          <w:p w:rsidR="00670289" w:rsidRPr="008E757A" w:rsidRDefault="00670289" w:rsidP="00670289">
            <w:pPr>
              <w:pStyle w:val="a"/>
              <w:numPr>
                <w:ilvl w:val="1"/>
                <w:numId w:val="2"/>
              </w:numPr>
              <w:tabs>
                <w:tab w:val="left" w:pos="720"/>
              </w:tabs>
              <w:ind w:left="1274" w:right="0" w:hanging="567"/>
              <w:jc w:val="both"/>
              <w:rPr>
                <w:rStyle w:val="default"/>
                <w:rFonts w:ascii="David" w:hAnsi="David" w:cs="David"/>
                <w:sz w:val="24"/>
                <w:szCs w:val="24"/>
              </w:rPr>
            </w:pPr>
            <w:r w:rsidRPr="008E757A">
              <w:rPr>
                <w:rStyle w:val="default"/>
                <w:rFonts w:ascii="David" w:hAnsi="David" w:cs="David"/>
                <w:sz w:val="24"/>
                <w:szCs w:val="24"/>
                <w:rtl/>
              </w:rPr>
              <w:t xml:space="preserve">בתפ"ח (מחוזי ב"ש) 9802-02-11 </w:t>
            </w:r>
            <w:r w:rsidRPr="008E757A">
              <w:rPr>
                <w:rStyle w:val="default"/>
                <w:rFonts w:ascii="David" w:hAnsi="David" w:cs="David"/>
                <w:b/>
                <w:bCs/>
                <w:sz w:val="24"/>
                <w:szCs w:val="24"/>
                <w:rtl/>
              </w:rPr>
              <w:t>מדינת ישראל נ' פלוני</w:t>
            </w:r>
            <w:r w:rsidRPr="008E757A">
              <w:rPr>
                <w:rStyle w:val="default"/>
                <w:rFonts w:ascii="David" w:hAnsi="David" w:cs="David"/>
                <w:sz w:val="24"/>
                <w:szCs w:val="24"/>
                <w:rtl/>
              </w:rPr>
              <w:t xml:space="preserve"> (6.10.2011) (הוגש על-ידי המאשימה) הורשע נאשם במסגרת הסדר טיעון "סגור" בעבירות של מעשים מגונים כלפי שתיים מנכדותיו הקטינות. הנאשם נגע וליטף את חזן של הקטינות, מעל ומתחת לחולצתה, ונישק אותן על פיהן. נאשם בן 68, ללא עבר פלילי, נדון בהסכמה לעונש של </w:t>
            </w:r>
            <w:r w:rsidRPr="008E757A">
              <w:rPr>
                <w:rStyle w:val="default"/>
                <w:rFonts w:ascii="David" w:hAnsi="David" w:cs="David"/>
                <w:b/>
                <w:bCs/>
                <w:sz w:val="24"/>
                <w:szCs w:val="24"/>
                <w:rtl/>
              </w:rPr>
              <w:t>3 שנות מאסר בפועל.</w:t>
            </w:r>
          </w:p>
          <w:p w:rsidR="00670289" w:rsidRPr="008E757A" w:rsidRDefault="00670289" w:rsidP="00670289">
            <w:pPr>
              <w:pStyle w:val="a"/>
              <w:numPr>
                <w:ilvl w:val="1"/>
                <w:numId w:val="2"/>
              </w:numPr>
              <w:tabs>
                <w:tab w:val="left" w:pos="720"/>
              </w:tabs>
              <w:ind w:left="1274" w:right="0" w:hanging="567"/>
              <w:jc w:val="both"/>
              <w:rPr>
                <w:rStyle w:val="default"/>
                <w:rFonts w:ascii="David" w:hAnsi="David" w:cs="David"/>
                <w:sz w:val="24"/>
                <w:szCs w:val="24"/>
              </w:rPr>
            </w:pPr>
            <w:r w:rsidRPr="008E757A">
              <w:rPr>
                <w:rStyle w:val="default"/>
                <w:rFonts w:ascii="David" w:hAnsi="David" w:cs="David"/>
                <w:sz w:val="24"/>
                <w:szCs w:val="24"/>
                <w:rtl/>
              </w:rPr>
              <w:t xml:space="preserve">בתפ"ח (מחוזי מר'-לוד) 1285-08-22 </w:t>
            </w:r>
            <w:r w:rsidRPr="008E757A">
              <w:rPr>
                <w:rStyle w:val="default"/>
                <w:rFonts w:ascii="David" w:hAnsi="David" w:cs="David"/>
                <w:b/>
                <w:bCs/>
                <w:sz w:val="24"/>
                <w:szCs w:val="24"/>
                <w:rtl/>
              </w:rPr>
              <w:t>מדינת ישראל נ' פלוני</w:t>
            </w:r>
            <w:r w:rsidRPr="008E757A">
              <w:rPr>
                <w:rStyle w:val="default"/>
                <w:rFonts w:ascii="David" w:hAnsi="David" w:cs="David"/>
                <w:sz w:val="24"/>
                <w:szCs w:val="24"/>
                <w:rtl/>
              </w:rPr>
              <w:t xml:space="preserve"> (27.11.2023), שניתן על-ידי הרכב זה, הורשע נאשם על פי הודאתו בשתי עבירות של מעשים מגונים שביצע בנכדתה הקטינה של אשתו. בשתי הזדמנויות שונות הורה לה לפשוט את בגדיה וליטף את חזה ואיבר מינה. הקטינה ביקשה ממנו לחדול ממעשיו והוא חדל. בית המשפט קבע מתחם עונש הנע בין</w:t>
            </w:r>
            <w:r w:rsidRPr="008E757A">
              <w:rPr>
                <w:rStyle w:val="default"/>
                <w:rFonts w:ascii="David" w:hAnsi="David" w:cs="David"/>
                <w:b/>
                <w:bCs/>
                <w:sz w:val="24"/>
                <w:szCs w:val="24"/>
                <w:rtl/>
              </w:rPr>
              <w:t xml:space="preserve"> 3 שנים ותשעה חודשים ועד 5.5 שנות מאסר בפועל</w:t>
            </w:r>
            <w:r w:rsidRPr="008E757A">
              <w:rPr>
                <w:rStyle w:val="default"/>
                <w:rFonts w:ascii="David" w:hAnsi="David" w:cs="David"/>
                <w:sz w:val="24"/>
                <w:szCs w:val="24"/>
                <w:rtl/>
              </w:rPr>
              <w:t xml:space="preserve">, וגזר על הנאשם, בשנות השבעים לחייו, הסובל מבעיות רפואיות, תוך חריגה מהמתחם משיקולי שיקום לאור המלצת שירות המבחן, </w:t>
            </w:r>
            <w:r w:rsidRPr="008E757A">
              <w:rPr>
                <w:rStyle w:val="default"/>
                <w:rFonts w:ascii="David" w:hAnsi="David" w:cs="David"/>
                <w:b/>
                <w:bCs/>
                <w:sz w:val="24"/>
                <w:szCs w:val="24"/>
                <w:rtl/>
              </w:rPr>
              <w:t>27 חודשי מאסר בפועל</w:t>
            </w:r>
            <w:r w:rsidRPr="008E757A">
              <w:rPr>
                <w:rStyle w:val="default"/>
                <w:rFonts w:ascii="David" w:hAnsi="David" w:cs="David"/>
                <w:sz w:val="24"/>
                <w:szCs w:val="24"/>
                <w:rtl/>
              </w:rPr>
              <w:t xml:space="preserve">. </w:t>
            </w:r>
          </w:p>
          <w:p w:rsidR="00670289" w:rsidRPr="008E757A" w:rsidRDefault="00670289" w:rsidP="00670289">
            <w:pPr>
              <w:pStyle w:val="a0"/>
              <w:jc w:val="both"/>
            </w:pPr>
            <w:r w:rsidRPr="008E757A">
              <w:rPr>
                <w:rtl/>
              </w:rPr>
              <w:t xml:space="preserve">לאור כל האמור לעיל, אנו קובעים כי </w:t>
            </w:r>
            <w:r w:rsidRPr="008E757A">
              <w:rPr>
                <w:b/>
                <w:bCs/>
                <w:rtl/>
              </w:rPr>
              <w:t xml:space="preserve">מתחם העונש ההולם בגין כל אחד מהאישומים הראשון והשני הוא החל משלוש שנים ותשעה חודשים ועד לשש שנות מאסר בפועל; בגין האישום </w:t>
            </w:r>
            <w:r w:rsidRPr="008E757A">
              <w:rPr>
                <w:b/>
                <w:bCs/>
                <w:rtl/>
              </w:rPr>
              <w:lastRenderedPageBreak/>
              <w:t>השלישי החל משנה ותשעה חודשים ועד לשנתיים וחצי מאסר בפועל; בגין האישום הרביעי החל משנתיים וחצי ועד לארבע שנות מאסר בפועל</w:t>
            </w:r>
            <w:r w:rsidRPr="008E757A">
              <w:rPr>
                <w:rtl/>
              </w:rPr>
              <w:t>.</w:t>
            </w:r>
          </w:p>
          <w:p w:rsidR="00670289" w:rsidRPr="008E757A" w:rsidRDefault="00670289" w:rsidP="00670289">
            <w:pPr>
              <w:pStyle w:val="a0"/>
              <w:numPr>
                <w:ilvl w:val="0"/>
                <w:numId w:val="0"/>
              </w:numPr>
              <w:tabs>
                <w:tab w:val="left" w:pos="720"/>
              </w:tabs>
              <w:rPr>
                <w:b/>
                <w:bCs/>
                <w:u w:val="single"/>
              </w:rPr>
            </w:pPr>
            <w:r w:rsidRPr="008E757A">
              <w:rPr>
                <w:b/>
                <w:bCs/>
                <w:u w:val="single"/>
                <w:rtl/>
              </w:rPr>
              <w:t>חריגה ממתחם העונש</w:t>
            </w:r>
          </w:p>
          <w:p w:rsidR="00670289" w:rsidRDefault="00670289" w:rsidP="00670289">
            <w:pPr>
              <w:pStyle w:val="a0"/>
              <w:jc w:val="both"/>
            </w:pPr>
            <w:r w:rsidRPr="008E757A">
              <w:rPr>
                <w:rtl/>
              </w:rPr>
              <w:t>כידוע, בית המשפט רשאי במקרים המתאימים לבכר את שיקול</w:t>
            </w:r>
            <w:r>
              <w:rPr>
                <w:rFonts w:hint="cs"/>
                <w:rtl/>
              </w:rPr>
              <w:t xml:space="preserve"> השיקום על פני שיקולי ההלימה וההרתעה, ולחרוג לקולה ממתחם העונש ההולם. זאת במקרים שבהם הנאשם השתקם או כי יש סיכוי של ממש שישתקם. הליך שיקומי מוצלח הוא אינטרס ציבורי ראשון במעלה, וזאת בשל החשיבות להשיב את הנאשם לדרך הישר ולתפקוד חיובי כאשר הוא חוזר לחברה, ולצמצם הישנות עבירות. מצב דברים שבו עבריין נרתם כולו לשיקום, ועושה כל שביכולתו כדי לחזור לדרך הישר, עשוי להצדיק חריגה ממתחם העונש ההולם, כך שהעונש לא ייגְדַע את הדרך השיקומית שעבר. הפרמטרים המרכזיים אשר מצביעים על סיכויי שיקום גבוהים הם המוטיבציה שהפגין הנאשם להשתקם; השתלבות מוצלחת בהליכים טיפוליים שונים; אינדיקציות לשינוי עמוק בהתנהגות ובדרך החשיבה; הבעת חרטה כנה על המעשים והפגנת אמפתיה כלפי נפגעי העבירה (ראו דברי כב' השופט י' עמית בע"פ 1216/21 </w:t>
            </w:r>
            <w:r>
              <w:rPr>
                <w:rFonts w:hint="cs"/>
                <w:b/>
                <w:bCs/>
                <w:rtl/>
              </w:rPr>
              <w:t>לארי נ' מדינת ישראל</w:t>
            </w:r>
            <w:r>
              <w:rPr>
                <w:rFonts w:hint="cs"/>
                <w:rtl/>
              </w:rPr>
              <w:t xml:space="preserve"> (19.5.2022); כב' השופט נ' סולברג בע"פ 7353/18 </w:t>
            </w:r>
            <w:r>
              <w:rPr>
                <w:rFonts w:hint="cs"/>
                <w:b/>
                <w:bCs/>
                <w:rtl/>
              </w:rPr>
              <w:t>חדד נ' מדינת ישראל</w:t>
            </w:r>
            <w:r>
              <w:rPr>
                <w:rFonts w:hint="cs"/>
                <w:rtl/>
              </w:rPr>
              <w:t xml:space="preserve"> (1.5.2019)); כב' השופטת ד' ברק-ארז בע"פ 6637/17 </w:t>
            </w:r>
            <w:r>
              <w:rPr>
                <w:rFonts w:hint="cs"/>
                <w:b/>
                <w:bCs/>
                <w:rtl/>
              </w:rPr>
              <w:t xml:space="preserve">קרנדל נ' מדינת ישראל </w:t>
            </w:r>
            <w:r>
              <w:rPr>
                <w:rFonts w:hint="cs"/>
                <w:rtl/>
              </w:rPr>
              <w:t xml:space="preserve">(18.4.2018)). </w:t>
            </w:r>
          </w:p>
          <w:p w:rsidR="00670289" w:rsidRDefault="00670289" w:rsidP="00670289">
            <w:pPr>
              <w:pStyle w:val="a0"/>
              <w:numPr>
                <w:ilvl w:val="0"/>
                <w:numId w:val="0"/>
              </w:numPr>
              <w:tabs>
                <w:tab w:val="left" w:pos="720"/>
              </w:tabs>
              <w:ind w:left="720"/>
              <w:jc w:val="both"/>
            </w:pPr>
            <w:r>
              <w:rPr>
                <w:rFonts w:hint="cs"/>
                <w:rtl/>
              </w:rPr>
              <w:t xml:space="preserve">ככל שהעבירה בה הורשע הנאשם ונסיבותיה חמורות יותר, כך גובר הנטל המוטל על הנאשם להראות הליך שיקומי מתקדם יותר, או סיכויי שיקום מובהקים יותר, כדי להצדיק חריגה לקולה ממתחם העונש ההולם (ע"פ 9036/18 </w:t>
            </w:r>
            <w:r>
              <w:rPr>
                <w:rFonts w:hint="cs"/>
                <w:b/>
                <w:bCs/>
                <w:rtl/>
              </w:rPr>
              <w:t>פלוני נ' מדינת ישראל</w:t>
            </w:r>
            <w:r>
              <w:rPr>
                <w:rFonts w:hint="cs"/>
                <w:rtl/>
              </w:rPr>
              <w:t xml:space="preserve"> (27.1.2020); ע"פ 8068/21 </w:t>
            </w:r>
            <w:r>
              <w:rPr>
                <w:rFonts w:hint="cs"/>
                <w:b/>
                <w:bCs/>
                <w:rtl/>
              </w:rPr>
              <w:t xml:space="preserve">פלוני נ' מדינת ישראל </w:t>
            </w:r>
            <w:r>
              <w:rPr>
                <w:rFonts w:hint="cs"/>
                <w:rtl/>
              </w:rPr>
              <w:t xml:space="preserve">(4.4.2022)). כמו כן, לא בכל מקרה של הליך טיפולי חיובי ראוי לחרוג מהמתחם לקולה, אלא יש לנקוט זהירות רבה בהפעלת החריג, וזאת כדי שהחריג לא ירוקן מתוכן את הכלל לפיו יש לגזור את העונש במסגרת המתחם (ע"פ 126/22 </w:t>
            </w:r>
            <w:r>
              <w:rPr>
                <w:rFonts w:hint="cs"/>
                <w:b/>
                <w:bCs/>
                <w:rtl/>
              </w:rPr>
              <w:t>מדינת ישראל נ' פלוני</w:t>
            </w:r>
            <w:r>
              <w:rPr>
                <w:rFonts w:hint="cs"/>
                <w:rtl/>
              </w:rPr>
              <w:t xml:space="preserve"> (27.4.2022); ע"פ 1810/22 </w:t>
            </w:r>
            <w:r>
              <w:rPr>
                <w:rFonts w:hint="cs"/>
                <w:b/>
                <w:bCs/>
                <w:rtl/>
              </w:rPr>
              <w:t>מדינת ישראל נ' פלונית</w:t>
            </w:r>
            <w:r>
              <w:rPr>
                <w:rFonts w:hint="cs"/>
                <w:rtl/>
              </w:rPr>
              <w:t xml:space="preserve"> (31.5.2022)).</w:t>
            </w:r>
          </w:p>
          <w:p w:rsidR="00670289" w:rsidRDefault="00670289" w:rsidP="00670289">
            <w:pPr>
              <w:pStyle w:val="a0"/>
              <w:jc w:val="both"/>
              <w:rPr>
                <w:b/>
                <w:rtl/>
              </w:rPr>
            </w:pPr>
            <w:r>
              <w:rPr>
                <w:rFonts w:hint="cs"/>
                <w:b/>
                <w:rtl/>
              </w:rPr>
              <w:t xml:space="preserve">על פי תסקירי שירות המבחן, הנאשם החל בטיפול פרטי אצל קרימינולוג כבר בחודש מאי 22' בעקבות חשיפת מעשיו כלפי ד.ד בפני הרב, ולפני פתיחת החקירה המשטרתית. באותה עת הנאשם שיתף את רעייתו במעשיו, חדל לעסוק בהוראת קטינים והחל בטיפול. במהלך הטיפול הסתיר הנאשם מפני המטפל את מצבו המשפטי ואת מלוא הפגיעות, אך במהלך הטיפול סיפר גם על הפגיעה בא.א. </w:t>
            </w:r>
          </w:p>
          <w:p w:rsidR="00670289" w:rsidRDefault="00670289" w:rsidP="00670289">
            <w:pPr>
              <w:pStyle w:val="af0"/>
              <w:spacing w:after="120" w:line="360" w:lineRule="auto"/>
              <w:ind w:left="709" w:firstLine="0"/>
              <w:jc w:val="both"/>
              <w:rPr>
                <w:rFonts w:ascii="David" w:hAnsi="David" w:cs="David"/>
                <w:lang w:eastAsia="he-IL"/>
              </w:rPr>
            </w:pPr>
            <w:r>
              <w:rPr>
                <w:rFonts w:ascii="David" w:hAnsi="David" w:cs="David"/>
                <w:rtl/>
                <w:lang w:eastAsia="he-IL"/>
              </w:rPr>
              <w:t xml:space="preserve">לאחר מעצרו, שירות המבחן המליץ על שחרורו ממעצר למסגרת הוסטל "מעגלים", נוכח ההתרשמות שטיפול אינטנסיבי יפחית ממסוכנותו. זאת על אף ההתרשמות שהנאשם התקשה בנטילת אחריות למעשיו, החזיק בעיוותי חשיבה, שלל בעייתיות בתחום המיני והביע אמביוולנטיות ביחס לטיפול. </w:t>
            </w:r>
          </w:p>
          <w:p w:rsidR="00670289" w:rsidRDefault="00670289" w:rsidP="00670289">
            <w:pPr>
              <w:pStyle w:val="af0"/>
              <w:spacing w:after="120" w:line="360" w:lineRule="auto"/>
              <w:ind w:left="709" w:firstLine="0"/>
              <w:jc w:val="both"/>
              <w:rPr>
                <w:rFonts w:ascii="David" w:hAnsi="David" w:cs="David"/>
                <w:rtl/>
                <w:lang w:eastAsia="he-IL"/>
              </w:rPr>
            </w:pPr>
            <w:r>
              <w:rPr>
                <w:rFonts w:ascii="David" w:hAnsi="David" w:cs="David"/>
                <w:rtl/>
                <w:lang w:eastAsia="he-IL"/>
              </w:rPr>
              <w:t xml:space="preserve">ביום 1.5.23 נקלט הנאשם בטיפול במסגרת הוסטל "מעגלים". גורמי הטיפול במסגרת העריכו שהנאשם בעל סטייה מינית הבופילית וכי לא ניתן לשלול סטייה פדופילית. באופן הדרגתי הצליח </w:t>
            </w:r>
            <w:r>
              <w:rPr>
                <w:rFonts w:ascii="David" w:hAnsi="David" w:cs="David"/>
                <w:rtl/>
                <w:lang w:eastAsia="he-IL"/>
              </w:rPr>
              <w:lastRenderedPageBreak/>
              <w:t xml:space="preserve">להביא תכנים רגשיים יותר, אף שעדיין הפעיל דפוסי הסתרה והתקשה להביא את חלקיו הפוגעניים. הנאשם מבטא מוטיבציה להליך הטיפול ולעריכת שינוי וניכרת התקדמות ביכולתו להיתרם מהתכנים ולגלות תובנות כלפי עצמו, אף אם מדובר בתהליך איטי והישגיו הטיפוליים נמצאים בפער לפרק הזמן הממושך במסגרת. בשלב זה עדיין מתקשה לבחון השלכות מעשיו ולגלות אמפתיה כנה כלפי נפגעות העבירה.  </w:t>
            </w:r>
          </w:p>
          <w:p w:rsidR="00670289" w:rsidRDefault="00670289" w:rsidP="00670289">
            <w:pPr>
              <w:pStyle w:val="af0"/>
              <w:spacing w:after="120" w:line="360" w:lineRule="auto"/>
              <w:ind w:left="709" w:firstLine="0"/>
              <w:jc w:val="both"/>
              <w:rPr>
                <w:rFonts w:ascii="David" w:hAnsi="David" w:cs="David"/>
                <w:rtl/>
                <w:lang w:eastAsia="he-IL"/>
              </w:rPr>
            </w:pPr>
            <w:r>
              <w:rPr>
                <w:rFonts w:ascii="David" w:hAnsi="David" w:cs="David"/>
                <w:rtl/>
                <w:lang w:eastAsia="he-IL"/>
              </w:rPr>
              <w:t>שירות המבחן התרשם שהנאשם מביע חרטה על מעשיו ומצליח להכיר בבעייתיות שבהתנהגותו הפוגענית, מנגד הוא מתקשה להיחשף ולהציג באופן כן את חלקיו הבעייתיים ולהעמיק בפגיעות עצמן. נראה שהצליח להתקדם בטיפול אף אם באופן איטי ממקום של הכחשת הבעייתיות במצבו לפיתוח מודעות. שירות המבחן ציין כי הנאשם מצוי בהליך טיפולי משמעותי ומקדם במצבו, כאשר הוא מבטא הכרה ומוטיבציה בהמשך הטיפול, ואולם לצורך השלמת הטיפול נדרשת תכנית שיקומית ארוכת טווח הצפויה להימשך למעלה משלוש שנים.</w:t>
            </w:r>
          </w:p>
          <w:p w:rsidR="00670289" w:rsidRDefault="00670289" w:rsidP="00670289">
            <w:pPr>
              <w:pStyle w:val="a0"/>
              <w:numPr>
                <w:ilvl w:val="0"/>
                <w:numId w:val="0"/>
              </w:numPr>
              <w:tabs>
                <w:tab w:val="left" w:pos="720"/>
              </w:tabs>
              <w:ind w:left="720"/>
              <w:jc w:val="both"/>
              <w:rPr>
                <w:rtl/>
                <w:lang w:eastAsia="he-IL"/>
              </w:rPr>
            </w:pPr>
            <w:r>
              <w:rPr>
                <w:rFonts w:hint="cs"/>
                <w:rtl/>
                <w:lang w:eastAsia="he-IL"/>
              </w:rPr>
              <w:t xml:space="preserve">מכל המתואר, אנו סבורים כי לא ניתן לראות בנאשם כמי שהשתקם, או במי שקיים סיכוי ממשי לשיקומו, באופן אשר מצדיק חריגה ממתחם העונש ההולם. אמנם, לנאשם היה חלק בחשיפת המעשים, הוא החל בטיפול עוד בטרם מעצרו, והוא מתמיד בטיפול במסגרת טיפולית אינטנסיבית מזה תקופה ממושכת, נטל אחריות מלאה למעשיו, הביע מוטיבציה להמשך טיפול, וחלה התקדמות מסוימת ביכולתו להיתרם מהטיפול. עם זאת, לפי התרשמות שירות המבחן, הנאשם נמצא </w:t>
            </w:r>
            <w:r>
              <w:rPr>
                <w:rFonts w:hint="cs"/>
                <w:rtl/>
              </w:rPr>
              <w:t>עדיין</w:t>
            </w:r>
            <w:r>
              <w:rPr>
                <w:rFonts w:hint="cs"/>
                <w:rtl/>
                <w:lang w:eastAsia="he-IL"/>
              </w:rPr>
              <w:t xml:space="preserve"> בשלבים ראשוניים של הבנת הבעייתיות בהתנהגותו הפוגענית, ולשם השלמת הטיפול נדרשת תקופת טיפול ממושכת העולה על שלוש שנים. הנאשם עדיין מתקשה להעמיק בפגיעות שביצע ומתקשה להציג באופן כן את חלקיו הבעייתיים. לפיכך, ראוי להתחשב במאמציו להשתקם, אך זאת בתוככי מתחם העונש ההולם, ובכך שלא ייצברו המתחמים הנוספים לעונשו בגין כל אישום בנפרד.</w:t>
            </w:r>
          </w:p>
          <w:p w:rsidR="00670289" w:rsidRDefault="00670289" w:rsidP="00670289">
            <w:pPr>
              <w:pStyle w:val="af1"/>
              <w:rPr>
                <w:rFonts w:ascii="David" w:hAnsi="David"/>
                <w:rtl/>
              </w:rPr>
            </w:pPr>
          </w:p>
          <w:p w:rsidR="00670289" w:rsidRDefault="00670289" w:rsidP="00670289">
            <w:pPr>
              <w:pStyle w:val="af1"/>
              <w:rPr>
                <w:rFonts w:ascii="David" w:hAnsi="David"/>
                <w:rtl/>
              </w:rPr>
            </w:pPr>
            <w:r>
              <w:rPr>
                <w:rFonts w:ascii="David" w:hAnsi="David"/>
                <w:rtl/>
              </w:rPr>
              <w:t>גזירת העונש המתאים לנאשם</w:t>
            </w:r>
          </w:p>
          <w:p w:rsidR="00670289" w:rsidRPr="001A3D5C" w:rsidRDefault="00670289" w:rsidP="00670289">
            <w:pPr>
              <w:pStyle w:val="a0"/>
              <w:jc w:val="both"/>
              <w:rPr>
                <w:rStyle w:val="default"/>
                <w:rFonts w:ascii="David" w:hAnsi="David" w:cs="David"/>
                <w:sz w:val="24"/>
                <w:szCs w:val="24"/>
              </w:rPr>
            </w:pPr>
            <w:r w:rsidRPr="001A3D5C">
              <w:rPr>
                <w:rtl/>
              </w:rPr>
              <w:t xml:space="preserve">בגזירת העונש המתאים לנאשם, בגדרי מתחם העונש ההולם, יש להתחשב </w:t>
            </w:r>
            <w:r w:rsidRPr="001A3D5C">
              <w:rPr>
                <w:b/>
                <w:bCs/>
                <w:rtl/>
              </w:rPr>
              <w:t>בנסיבות שאינן קשורות בביצוע העבירה</w:t>
            </w:r>
            <w:r w:rsidRPr="001A3D5C">
              <w:rPr>
                <w:rtl/>
              </w:rPr>
              <w:t xml:space="preserve">. במסגרת זו </w:t>
            </w:r>
            <w:r w:rsidRPr="001A3D5C">
              <w:rPr>
                <w:rStyle w:val="default"/>
                <w:rFonts w:ascii="David" w:hAnsi="David" w:cs="David"/>
                <w:sz w:val="24"/>
                <w:szCs w:val="24"/>
                <w:rtl/>
              </w:rPr>
              <w:t xml:space="preserve">מן הראוי לתת את הדעת לכך שהנאשם בן 48 ואב לחמישה ילדים. בעקבות חשיפת מעשיו ומעצרו מצוי כיום בהליך גירושין. לאורך השנים ניהל אורח חיים תקין וללא מעורבות בפלילים. מובן שעונש מאסר ממושך יקשה על הנאשם בהיותו מאסר ראשון בחייו ובפרט נוכח הריחוק מבני משפחתו. הנאשם הודה באשמה בתחילת ההליך המשפט, נטל אחריות מלאה למעשיו, ובכך חסך את שמיעת עדותן של נפגעות העבירה. </w:t>
            </w:r>
          </w:p>
          <w:p w:rsidR="00670289" w:rsidRPr="001A3D5C" w:rsidRDefault="00670289" w:rsidP="00670289">
            <w:pPr>
              <w:pStyle w:val="a0"/>
              <w:numPr>
                <w:ilvl w:val="0"/>
                <w:numId w:val="0"/>
              </w:numPr>
              <w:tabs>
                <w:tab w:val="left" w:pos="720"/>
              </w:tabs>
              <w:ind w:left="720"/>
              <w:jc w:val="both"/>
              <w:rPr>
                <w:rStyle w:val="default"/>
                <w:rFonts w:ascii="David" w:hAnsi="David" w:cs="David"/>
                <w:sz w:val="24"/>
                <w:szCs w:val="24"/>
                <w:rtl/>
              </w:rPr>
            </w:pPr>
            <w:r w:rsidRPr="001A3D5C">
              <w:rPr>
                <w:rStyle w:val="default"/>
                <w:rFonts w:ascii="David" w:hAnsi="David" w:cs="David"/>
                <w:sz w:val="24"/>
                <w:szCs w:val="24"/>
                <w:rtl/>
              </w:rPr>
              <w:t xml:space="preserve">חשיפת מעשיו בפני סביבתו החלה עוד בטרם החלה חקירת המשטרה, תחילה בפני הרב אשר פנה אל הנאשם בעקבות מידע על הפגיעה בד.ד, ולאחר מכן בפני אשתו ובפני המטפל, הגם שלא חשף ביוזמתו את כל הפגיעות. הנאשם פנה לטיפול פרטי עוד טרם תחילת חקירת המשטרה, והרחיק עצמו מעבודה בסביבת קטינים. הנאשם מטופל מזה תקופה ממושכת, ואף שמדובר בתהליך איטי </w:t>
            </w:r>
            <w:r w:rsidRPr="001A3D5C">
              <w:rPr>
                <w:rStyle w:val="default"/>
                <w:rFonts w:ascii="David" w:hAnsi="David" w:cs="David"/>
                <w:sz w:val="24"/>
                <w:szCs w:val="24"/>
                <w:rtl/>
              </w:rPr>
              <w:lastRenderedPageBreak/>
              <w:t xml:space="preserve">והדרגתי, הוא מגלה כיום מודעות לחלקיו הבעייתיים ולצורך בהמשך הליך השיקום. בנוסף נתנו דעתנו לחלוף הזמן העולה על חמש שנים מתום ביצוע העבירות (אשר הופסקו בשנת 2019), ולתקופת בת כארבעה חודשים בה שהה הנאשם במעצר (אשר תנוכה מתקופת מאסרו). </w:t>
            </w:r>
          </w:p>
          <w:p w:rsidR="00670289" w:rsidRDefault="00670289" w:rsidP="00670289">
            <w:pPr>
              <w:pStyle w:val="a0"/>
              <w:jc w:val="both"/>
            </w:pPr>
            <w:r w:rsidRPr="001A3D5C">
              <w:rPr>
                <w:rtl/>
              </w:rPr>
              <w:t xml:space="preserve">עוד יש להביא בחשבון את שיקול </w:t>
            </w:r>
            <w:r w:rsidRPr="001A3D5C">
              <w:rPr>
                <w:b/>
                <w:bCs/>
                <w:rtl/>
              </w:rPr>
              <w:t>הרתעת היחיד</w:t>
            </w:r>
            <w:r w:rsidRPr="001A3D5C">
              <w:rPr>
                <w:rtl/>
              </w:rPr>
              <w:t xml:space="preserve"> בגדרו של המתחם, וזאת בשים לב שהנאשם נמצא עדין בשלבים ראשוניים של הטיפול, ההערכה כי הוא בעל סטייה מינית הבופילית, וגורמי הסיכון שאותם מנה שירות המבחן בין היתר עיוותי חשיבה, קשייו לראות את האחר ולגלות אמפתיה לנפגעות העבירה. כמו כן יש לתת את הדעת לשיקול </w:t>
            </w:r>
            <w:r w:rsidRPr="001A3D5C">
              <w:rPr>
                <w:b/>
                <w:bCs/>
                <w:rtl/>
              </w:rPr>
              <w:t>הרתעת הרבים</w:t>
            </w:r>
            <w:r w:rsidRPr="001A3D5C">
              <w:rPr>
                <w:rtl/>
              </w:rPr>
              <w:t>, בשים לב לכך</w:t>
            </w:r>
            <w:r>
              <w:rPr>
                <w:rFonts w:hint="cs"/>
                <w:rtl/>
              </w:rPr>
              <w:t xml:space="preserve"> שעבירות מין בקטינים במשפחה נעשות על פי רוב בחדרי חדרים, באופן המקל על ביצוען ומקשה על גילוין, ובשים לב לפסיקת בית המשפט העליון המורה על מתן משקל לשיקולי הרתעת הרבים בקביעת עונשם של מבצעי עבירות מין אלה (ראו בע"פ 2783/22 </w:t>
            </w:r>
            <w:r>
              <w:rPr>
                <w:rFonts w:hint="cs"/>
                <w:b/>
                <w:bCs/>
                <w:rtl/>
              </w:rPr>
              <w:t>דאבוש נ' מדינת ישראל</w:t>
            </w:r>
            <w:r>
              <w:rPr>
                <w:rFonts w:hint="cs"/>
                <w:rtl/>
              </w:rPr>
              <w:t xml:space="preserve"> (12.5.2023) וע"פ 8068/21 </w:t>
            </w:r>
            <w:r>
              <w:rPr>
                <w:rFonts w:hint="cs"/>
                <w:b/>
                <w:bCs/>
                <w:rtl/>
              </w:rPr>
              <w:t>פלוני נ' מדינת ישראל</w:t>
            </w:r>
            <w:r>
              <w:rPr>
                <w:rFonts w:hint="cs"/>
                <w:rtl/>
              </w:rPr>
              <w:t xml:space="preserve"> (4.4.2022)). </w:t>
            </w:r>
          </w:p>
          <w:p w:rsidR="00670289" w:rsidRPr="001A3D5C" w:rsidRDefault="00670289" w:rsidP="00670289">
            <w:pPr>
              <w:pStyle w:val="a0"/>
              <w:numPr>
                <w:ilvl w:val="0"/>
                <w:numId w:val="0"/>
              </w:numPr>
              <w:tabs>
                <w:tab w:val="left" w:pos="720"/>
              </w:tabs>
              <w:ind w:left="720"/>
              <w:jc w:val="both"/>
            </w:pPr>
            <w:r>
              <w:rPr>
                <w:rFonts w:hint="cs"/>
                <w:rtl/>
              </w:rPr>
              <w:t xml:space="preserve">ככלל בעבירות מסוג זה, נסיבותיו האישיות של הנאשם נסוגות מול עקרונות ההלימה והרתעת היחיד והרבים ועל העונש לשקף את הסלידה החברתית מהמעשים, גם כאשר הנאשם עבר הליך טיפולי ובפרט כאשר ממתינה לו עוד כברת דרך טיפולית משמעותית לשם שיקומו (בעניין זה ראו </w:t>
            </w:r>
            <w:r w:rsidRPr="001A3D5C">
              <w:rPr>
                <w:rtl/>
              </w:rPr>
              <w:t xml:space="preserve">ע"פ 8068/21 </w:t>
            </w:r>
            <w:r w:rsidRPr="001A3D5C">
              <w:rPr>
                <w:b/>
                <w:bCs/>
                <w:rtl/>
              </w:rPr>
              <w:t>פלוני נ' מדינת ישראל</w:t>
            </w:r>
            <w:r w:rsidRPr="001A3D5C">
              <w:rPr>
                <w:rtl/>
              </w:rPr>
              <w:t xml:space="preserve"> (4.4.2022) וע"פ 9036/18 </w:t>
            </w:r>
            <w:r w:rsidRPr="001A3D5C">
              <w:rPr>
                <w:b/>
                <w:bCs/>
                <w:rtl/>
              </w:rPr>
              <w:t>פלוני נ' מדינת ישראל</w:t>
            </w:r>
            <w:r w:rsidRPr="001A3D5C">
              <w:rPr>
                <w:rtl/>
              </w:rPr>
              <w:t xml:space="preserve"> (27.1.2018)).</w:t>
            </w:r>
          </w:p>
          <w:p w:rsidR="00670289" w:rsidRPr="001A3D5C" w:rsidRDefault="00670289" w:rsidP="00670289">
            <w:pPr>
              <w:pStyle w:val="a0"/>
              <w:jc w:val="both"/>
            </w:pPr>
            <w:r w:rsidRPr="001A3D5C">
              <w:rPr>
                <w:rStyle w:val="default"/>
                <w:rFonts w:ascii="David" w:hAnsi="David" w:cs="David"/>
                <w:sz w:val="24"/>
                <w:szCs w:val="24"/>
                <w:rtl/>
              </w:rPr>
              <w:t xml:space="preserve">באיזון בין השיקולים השונים, אנו סבורים כי יש לגזור על הנאשם עונש כולל לכל האישומים ברף התחתון של מתחם העונש ההולם הגבוה ביותר שנקבע (45 חודשי מאסר). זאת לצד מאסר על תנאי ופיצוי משמעותי לנפגעות העבירה בגין הנזקים שגרם להן הנאשם. בכל הנוגע לשיעור הפיצוי, יש להבחין בין הקטינות א.א, ב.ב ו-ד.ד, אשר נפגעו פגיעות חוזרות ונשנות על ידי הנאשם, לבין ג.ג, אשר הפגיעה בה הייתה חד פעמית. </w:t>
            </w:r>
          </w:p>
          <w:p w:rsidR="00670289" w:rsidRPr="001A3D5C" w:rsidRDefault="00670289" w:rsidP="00670289">
            <w:pPr>
              <w:pStyle w:val="a"/>
              <w:numPr>
                <w:ilvl w:val="0"/>
                <w:numId w:val="0"/>
              </w:numPr>
              <w:tabs>
                <w:tab w:val="left" w:pos="720"/>
              </w:tabs>
              <w:ind w:right="0"/>
              <w:jc w:val="both"/>
              <w:rPr>
                <w:rFonts w:ascii="David" w:hAnsi="David"/>
                <w:b/>
                <w:bCs/>
                <w:u w:val="single"/>
                <w:rtl/>
              </w:rPr>
            </w:pPr>
            <w:r w:rsidRPr="001A3D5C">
              <w:rPr>
                <w:rFonts w:ascii="David" w:hAnsi="David"/>
                <w:b/>
                <w:bCs/>
                <w:u w:val="single"/>
                <w:rtl/>
              </w:rPr>
              <w:t>סוף דבר</w:t>
            </w:r>
          </w:p>
          <w:p w:rsidR="00670289" w:rsidRPr="001A3D5C" w:rsidRDefault="00670289" w:rsidP="00670289">
            <w:pPr>
              <w:pStyle w:val="a0"/>
              <w:jc w:val="both"/>
              <w:rPr>
                <w:rtl/>
              </w:rPr>
            </w:pPr>
            <w:r w:rsidRPr="001A3D5C">
              <w:rPr>
                <w:b/>
                <w:bCs/>
                <w:u w:val="single"/>
                <w:rtl/>
              </w:rPr>
              <w:t>לפיכך, אנו גוזרים על הנאשם את העונשים המפורטים להלן</w:t>
            </w:r>
            <w:r w:rsidRPr="001A3D5C">
              <w:rPr>
                <w:rtl/>
              </w:rPr>
              <w:t>:</w:t>
            </w:r>
          </w:p>
          <w:p w:rsidR="00670289" w:rsidRPr="001A3D5C" w:rsidRDefault="00670289" w:rsidP="00670289">
            <w:pPr>
              <w:pStyle w:val="a"/>
              <w:numPr>
                <w:ilvl w:val="1"/>
                <w:numId w:val="2"/>
              </w:numPr>
              <w:tabs>
                <w:tab w:val="num" w:pos="1286"/>
              </w:tabs>
              <w:ind w:left="1286" w:right="0" w:hanging="540"/>
              <w:jc w:val="both"/>
              <w:rPr>
                <w:rStyle w:val="default"/>
                <w:rFonts w:ascii="David" w:hAnsi="David" w:cs="David"/>
                <w:sz w:val="24"/>
                <w:szCs w:val="24"/>
              </w:rPr>
            </w:pPr>
            <w:r w:rsidRPr="001A3D5C">
              <w:rPr>
                <w:rStyle w:val="default"/>
                <w:rFonts w:ascii="David" w:hAnsi="David" w:cs="David"/>
                <w:b/>
                <w:bCs/>
                <w:sz w:val="24"/>
                <w:szCs w:val="24"/>
                <w:rtl/>
              </w:rPr>
              <w:t>45 חודשי מאסר בפועל</w:t>
            </w:r>
            <w:r w:rsidRPr="001A3D5C">
              <w:rPr>
                <w:rStyle w:val="default"/>
                <w:rFonts w:ascii="David" w:hAnsi="David" w:cs="David"/>
                <w:sz w:val="24"/>
                <w:szCs w:val="24"/>
                <w:rtl/>
              </w:rPr>
              <w:t>, בניכוי ימי מעצרו מיום 11.1.23 עד 1.5.23.</w:t>
            </w:r>
          </w:p>
          <w:p w:rsidR="00670289" w:rsidRPr="001A3D5C" w:rsidRDefault="00670289" w:rsidP="00670289">
            <w:pPr>
              <w:pStyle w:val="a"/>
              <w:numPr>
                <w:ilvl w:val="1"/>
                <w:numId w:val="2"/>
              </w:numPr>
              <w:tabs>
                <w:tab w:val="num" w:pos="1286"/>
              </w:tabs>
              <w:ind w:left="1286" w:right="0" w:hanging="540"/>
              <w:jc w:val="both"/>
              <w:rPr>
                <w:rStyle w:val="default"/>
                <w:rFonts w:ascii="David" w:hAnsi="David" w:cs="David"/>
                <w:sz w:val="24"/>
                <w:szCs w:val="24"/>
              </w:rPr>
            </w:pPr>
            <w:r w:rsidRPr="001A3D5C">
              <w:rPr>
                <w:rStyle w:val="default"/>
                <w:rFonts w:ascii="David" w:hAnsi="David" w:cs="David"/>
                <w:sz w:val="24"/>
                <w:szCs w:val="24"/>
                <w:rtl/>
              </w:rPr>
              <w:t>12 חודשי מאסר על תנאי, לבל יעבור הנאשם במשך 3 שנים מיום שחרורו ממאסר כל עבירת מין מסוג פשע.</w:t>
            </w:r>
          </w:p>
          <w:p w:rsidR="00670289" w:rsidRPr="001A3D5C" w:rsidRDefault="00670289" w:rsidP="00670289">
            <w:pPr>
              <w:pStyle w:val="a"/>
              <w:numPr>
                <w:ilvl w:val="1"/>
                <w:numId w:val="2"/>
              </w:numPr>
              <w:tabs>
                <w:tab w:val="num" w:pos="1286"/>
              </w:tabs>
              <w:ind w:left="1286" w:right="0" w:hanging="540"/>
              <w:jc w:val="both"/>
              <w:rPr>
                <w:rStyle w:val="default"/>
                <w:rFonts w:ascii="David" w:hAnsi="David" w:cs="David"/>
                <w:sz w:val="24"/>
                <w:szCs w:val="24"/>
              </w:rPr>
            </w:pPr>
            <w:r w:rsidRPr="001A3D5C">
              <w:rPr>
                <w:rStyle w:val="default"/>
                <w:rFonts w:ascii="David" w:hAnsi="David" w:cs="David"/>
                <w:sz w:val="24"/>
                <w:szCs w:val="24"/>
                <w:rtl/>
              </w:rPr>
              <w:t xml:space="preserve">6 חודשי מאסר על תנאי, לבל יעבור הנאשם במשך שנתיים מיום שחרורו ממאסר כל עבירת מין מסוג עוון. </w:t>
            </w:r>
          </w:p>
          <w:p w:rsidR="00670289" w:rsidRPr="001A3D5C" w:rsidRDefault="00670289" w:rsidP="00670289">
            <w:pPr>
              <w:pStyle w:val="a"/>
              <w:numPr>
                <w:ilvl w:val="1"/>
                <w:numId w:val="2"/>
              </w:numPr>
              <w:tabs>
                <w:tab w:val="num" w:pos="1286"/>
              </w:tabs>
              <w:ind w:left="1286" w:right="0" w:hanging="540"/>
              <w:jc w:val="both"/>
              <w:rPr>
                <w:rStyle w:val="default"/>
                <w:rFonts w:ascii="David" w:hAnsi="David" w:cs="David"/>
                <w:sz w:val="24"/>
                <w:szCs w:val="24"/>
              </w:rPr>
            </w:pPr>
            <w:r w:rsidRPr="001A3D5C">
              <w:rPr>
                <w:rStyle w:val="default"/>
                <w:rFonts w:ascii="David" w:hAnsi="David" w:cs="David"/>
                <w:sz w:val="24"/>
                <w:szCs w:val="24"/>
                <w:rtl/>
              </w:rPr>
              <w:t xml:space="preserve">פיצוי בסך 100,000 ₪ למתלוננות. הפיצוי יחולק בין נפגעות העבירה, כך שהמתלוננות א.א, ב.ב, ו-ד.ד יפוצו בסך של 30,000 ₪ כל אחת, והמתלוננת ג.ג תפוצה בסך של 10,000 ₪. הפיצוי יופקד במזכירות בית המשפט ב-10 תשלומים חודשיים שווים ורצופים, </w:t>
            </w:r>
            <w:r w:rsidRPr="001A3D5C">
              <w:rPr>
                <w:rStyle w:val="default"/>
                <w:rFonts w:ascii="David" w:hAnsi="David" w:cs="David"/>
                <w:sz w:val="24"/>
                <w:szCs w:val="24"/>
                <w:rtl/>
              </w:rPr>
              <w:lastRenderedPageBreak/>
              <w:t xml:space="preserve">שהראשון שבהם ביום 1.9.24. אם לא ישולם תשלום כלשהו במועדו, תעמוד היתרה לפירעון מיידי. </w:t>
            </w:r>
          </w:p>
          <w:p w:rsidR="00670289" w:rsidRDefault="00670289" w:rsidP="00670289">
            <w:pPr>
              <w:pStyle w:val="a0"/>
              <w:numPr>
                <w:ilvl w:val="0"/>
                <w:numId w:val="0"/>
              </w:numPr>
              <w:tabs>
                <w:tab w:val="left" w:pos="720"/>
              </w:tabs>
              <w:ind w:left="720"/>
              <w:jc w:val="both"/>
              <w:rPr>
                <w:lang w:eastAsia="he-IL"/>
              </w:rPr>
            </w:pPr>
            <w:r>
              <w:rPr>
                <w:rFonts w:hint="cs"/>
                <w:rtl/>
                <w:lang w:eastAsia="he-IL"/>
              </w:rPr>
              <w:t>מזכירות בית המשפט תמציא העתק גזר דין לשירות המבחן.</w:t>
            </w:r>
          </w:p>
          <w:p w:rsidR="00670289" w:rsidRDefault="00670289" w:rsidP="00670289">
            <w:pPr>
              <w:pStyle w:val="a"/>
              <w:numPr>
                <w:ilvl w:val="0"/>
                <w:numId w:val="0"/>
              </w:numPr>
              <w:tabs>
                <w:tab w:val="left" w:pos="720"/>
              </w:tabs>
              <w:ind w:right="0" w:firstLine="360"/>
              <w:jc w:val="both"/>
              <w:rPr>
                <w:rFonts w:ascii="David" w:hAnsi="David"/>
                <w:rtl/>
                <w:lang w:eastAsia="he-IL"/>
              </w:rPr>
            </w:pPr>
            <w:r>
              <w:rPr>
                <w:rFonts w:ascii="David" w:hAnsi="David"/>
                <w:rtl/>
                <w:lang w:eastAsia="he-IL"/>
              </w:rPr>
              <w:tab/>
              <w:t xml:space="preserve">זכות ערעור לבית-המשפט העליון בתוך 45 ימים. </w:t>
            </w:r>
          </w:p>
          <w:p w:rsidR="00670289" w:rsidRDefault="00670289" w:rsidP="00670289">
            <w:pPr>
              <w:spacing w:line="360" w:lineRule="auto"/>
              <w:jc w:val="both"/>
              <w:rPr>
                <w:rFonts w:ascii="David" w:hAnsi="David"/>
                <w:sz w:val="6"/>
                <w:szCs w:val="6"/>
                <w:rtl/>
              </w:rPr>
            </w:pPr>
            <w:r>
              <w:rPr>
                <w:rFonts w:hint="cs"/>
                <w:sz w:val="6"/>
                <w:szCs w:val="6"/>
                <w:rtl/>
              </w:rPr>
              <w:t>&lt;#6#&gt;</w:t>
            </w:r>
          </w:p>
          <w:p w:rsidR="00670289" w:rsidRDefault="00670289" w:rsidP="00670289">
            <w:pPr>
              <w:spacing w:line="360" w:lineRule="auto"/>
              <w:rPr>
                <w:b/>
                <w:bCs/>
              </w:rPr>
            </w:pPr>
            <w:r>
              <w:rPr>
                <w:rFonts w:hint="cs"/>
                <w:b/>
                <w:bCs/>
                <w:rtl/>
              </w:rPr>
              <w:t xml:space="preserve">ניתן והודע היום </w:t>
            </w:r>
            <w:sdt>
              <w:sdtPr>
                <w:rPr>
                  <w:rFonts w:hint="cs"/>
                  <w:rtl/>
                </w:rPr>
                <w:alias w:val="2207"/>
                <w:tag w:val="2207"/>
                <w:id w:val="-1602030440"/>
              </w:sdtPr>
              <w:sdtEndPr/>
              <w:sdtContent>
                <w:r>
                  <w:rPr>
                    <w:rFonts w:hint="cs"/>
                    <w:b/>
                    <w:bCs/>
                    <w:rtl/>
                  </w:rPr>
                  <w:t>כ"ה סיוון תשפ"ד</w:t>
                </w:r>
              </w:sdtContent>
            </w:sdt>
            <w:r>
              <w:rPr>
                <w:rFonts w:hint="cs"/>
                <w:b/>
                <w:bCs/>
                <w:rtl/>
              </w:rPr>
              <w:t xml:space="preserve">, </w:t>
            </w:r>
            <w:sdt>
              <w:sdtPr>
                <w:rPr>
                  <w:rFonts w:hint="cs"/>
                  <w:rtl/>
                </w:rPr>
                <w:alias w:val="2206"/>
                <w:tag w:val="2206"/>
                <w:id w:val="-881791114"/>
              </w:sdtPr>
              <w:sdtEndPr/>
              <w:sdtContent>
                <w:r>
                  <w:rPr>
                    <w:rFonts w:hint="cs"/>
                    <w:b/>
                    <w:bCs/>
                  </w:rPr>
                  <w:t>01/07/2024</w:t>
                </w:r>
              </w:sdtContent>
            </w:sdt>
            <w:r>
              <w:rPr>
                <w:rFonts w:hint="cs"/>
                <w:b/>
                <w:bCs/>
                <w:rtl/>
              </w:rPr>
              <w:t xml:space="preserve"> במעמד הנוכחים. </w:t>
            </w:r>
          </w:p>
          <w:p w:rsidR="00670289" w:rsidRDefault="00670289" w:rsidP="00670289">
            <w:pPr>
              <w:spacing w:line="360" w:lineRule="auto"/>
              <w:rPr>
                <w:rtl/>
              </w:rPr>
            </w:pPr>
          </w:p>
          <w:tbl>
            <w:tblPr>
              <w:tblStyle w:val="ac"/>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670289" w:rsidTr="00670289">
              <w:tc>
                <w:tcPr>
                  <w:tcW w:w="2891" w:type="dxa"/>
                  <w:vAlign w:val="center"/>
                  <w:hideMark/>
                </w:tcPr>
                <w:p w:rsidR="00670289" w:rsidRDefault="00AD3999" w:rsidP="00670289">
                  <w:pPr>
                    <w:jc w:val="right"/>
                    <w:rPr>
                      <w:rtl/>
                    </w:rPr>
                  </w:pPr>
                  <w:sdt>
                    <w:sdtPr>
                      <w:rPr>
                        <w:rFonts w:cs="Times New Roman"/>
                        <w:rtl/>
                      </w:rPr>
                      <w:alias w:val="MergeField"/>
                      <w:tag w:val="2250"/>
                      <w:id w:val="-1630157616"/>
                    </w:sdtPr>
                    <w:sdtEndPr/>
                    <w:sdtContent>
                      <w:r w:rsidR="00670289">
                        <w:drawing>
                          <wp:inline distT="0" distB="0" distL="0" distR="0">
                            <wp:extent cx="1690370" cy="861060"/>
                            <wp:effectExtent l="0" t="0" r="508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0370" cy="861060"/>
                                    </a:xfrm>
                                    <a:prstGeom prst="rect">
                                      <a:avLst/>
                                    </a:prstGeom>
                                    <a:noFill/>
                                    <a:ln>
                                      <a:noFill/>
                                    </a:ln>
                                  </pic:spPr>
                                </pic:pic>
                              </a:graphicData>
                            </a:graphic>
                          </wp:inline>
                        </w:drawing>
                      </w:r>
                    </w:sdtContent>
                  </w:sdt>
                </w:p>
              </w:tc>
              <w:tc>
                <w:tcPr>
                  <w:tcW w:w="2891" w:type="dxa"/>
                  <w:vAlign w:val="center"/>
                  <w:hideMark/>
                </w:tcPr>
                <w:sdt>
                  <w:sdtPr>
                    <w:rPr>
                      <w:rFonts w:cs="Times New Roman"/>
                      <w:rtl/>
                    </w:rPr>
                    <w:alias w:val="MergeField"/>
                    <w:tag w:val="2251"/>
                    <w:id w:val="-948544660"/>
                  </w:sdtPr>
                  <w:sdtEndPr/>
                  <w:sdtContent>
                    <w:p w:rsidR="00670289" w:rsidRDefault="00670289" w:rsidP="00670289">
                      <w:pPr>
                        <w:jc w:val="right"/>
                      </w:pPr>
                      <w:r>
                        <w:drawing>
                          <wp:inline distT="0" distB="0" distL="0" distR="0">
                            <wp:extent cx="1371600" cy="1062990"/>
                            <wp:effectExtent l="0" t="0" r="0" b="381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106299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2000498533"/>
                  </w:sdtPr>
                  <w:sdtEndPr/>
                  <w:sdtContent>
                    <w:p w:rsidR="00670289" w:rsidRDefault="00670289" w:rsidP="00670289">
                      <w:pPr>
                        <w:jc w:val="right"/>
                      </w:pPr>
                      <w:r>
                        <w:drawing>
                          <wp:inline distT="0" distB="0" distL="0" distR="0">
                            <wp:extent cx="1520190" cy="510540"/>
                            <wp:effectExtent l="0" t="0" r="3810" b="381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r>
            <w:tr w:rsidR="00670289" w:rsidTr="00670289">
              <w:tc>
                <w:tcPr>
                  <w:tcW w:w="2891" w:type="dxa"/>
                  <w:vAlign w:val="center"/>
                  <w:hideMark/>
                </w:tcPr>
                <w:p w:rsidR="00670289" w:rsidRDefault="00AD3999" w:rsidP="00670289">
                  <w:pPr>
                    <w:spacing w:line="360" w:lineRule="auto"/>
                    <w:jc w:val="center"/>
                    <w:rPr>
                      <w:rFonts w:ascii="David" w:hAnsi="David"/>
                    </w:rPr>
                  </w:pPr>
                  <w:sdt>
                    <w:sdtPr>
                      <w:rPr>
                        <w:rtl/>
                      </w:rPr>
                      <w:alias w:val="2235"/>
                      <w:tag w:val="2235"/>
                      <w:id w:val="1100069598"/>
                    </w:sdtPr>
                    <w:sdtEndPr/>
                    <w:sdtContent>
                      <w:r w:rsidR="00670289">
                        <w:rPr>
                          <w:rFonts w:ascii="David" w:hAnsi="David"/>
                          <w:rtl/>
                        </w:rPr>
                        <w:t>רות</w:t>
                      </w:r>
                    </w:sdtContent>
                  </w:sdt>
                  <w:r w:rsidR="00670289">
                    <w:rPr>
                      <w:rFonts w:hint="cs"/>
                      <w:rtl/>
                    </w:rPr>
                    <w:t xml:space="preserve">  </w:t>
                  </w:r>
                  <w:sdt>
                    <w:sdtPr>
                      <w:rPr>
                        <w:rFonts w:cs="Times New Roman"/>
                        <w:rtl/>
                      </w:rPr>
                      <w:alias w:val="2240"/>
                      <w:tag w:val="2240"/>
                      <w:id w:val="825638415"/>
                    </w:sdtPr>
                    <w:sdtEndPr/>
                    <w:sdtContent>
                      <w:r w:rsidR="00670289">
                        <w:rPr>
                          <w:rtl/>
                        </w:rPr>
                        <w:t>לורך</w:t>
                      </w:r>
                    </w:sdtContent>
                  </w:sdt>
                  <w:r w:rsidR="00670289">
                    <w:rPr>
                      <w:rFonts w:hint="cs"/>
                      <w:rtl/>
                    </w:rPr>
                    <w:t xml:space="preserve">, </w:t>
                  </w:r>
                  <w:sdt>
                    <w:sdtPr>
                      <w:rPr>
                        <w:rFonts w:cs="Times New Roman"/>
                        <w:rtl/>
                      </w:rPr>
                      <w:alias w:val="2245"/>
                      <w:tag w:val="2245"/>
                      <w:id w:val="533847746"/>
                    </w:sdtPr>
                    <w:sdtEndPr/>
                    <w:sdtContent>
                      <w:r w:rsidR="00670289">
                        <w:rPr>
                          <w:rtl/>
                        </w:rPr>
                        <w:t>שופטת - נשיאה</w:t>
                      </w:r>
                    </w:sdtContent>
                  </w:sdt>
                </w:p>
              </w:tc>
              <w:tc>
                <w:tcPr>
                  <w:tcW w:w="2891" w:type="dxa"/>
                  <w:vAlign w:val="center"/>
                  <w:hideMark/>
                </w:tcPr>
                <w:p w:rsidR="00670289" w:rsidRDefault="00AD3999" w:rsidP="00670289">
                  <w:pPr>
                    <w:spacing w:line="360" w:lineRule="auto"/>
                    <w:jc w:val="center"/>
                    <w:rPr>
                      <w:rFonts w:ascii="David" w:hAnsi="David"/>
                      <w:rtl/>
                    </w:rPr>
                  </w:pPr>
                  <w:sdt>
                    <w:sdtPr>
                      <w:rPr>
                        <w:rtl/>
                      </w:rPr>
                      <w:alias w:val="2236"/>
                      <w:tag w:val="2236"/>
                      <w:id w:val="639300144"/>
                    </w:sdtPr>
                    <w:sdtEndPr/>
                    <w:sdtContent>
                      <w:r w:rsidR="00670289">
                        <w:rPr>
                          <w:rFonts w:ascii="David" w:hAnsi="David"/>
                          <w:rtl/>
                        </w:rPr>
                        <w:t>דבורה</w:t>
                      </w:r>
                    </w:sdtContent>
                  </w:sdt>
                  <w:r w:rsidR="00670289">
                    <w:rPr>
                      <w:rFonts w:hint="cs"/>
                      <w:rtl/>
                    </w:rPr>
                    <w:t xml:space="preserve"> </w:t>
                  </w:r>
                  <w:sdt>
                    <w:sdtPr>
                      <w:rPr>
                        <w:rFonts w:cs="Times New Roman"/>
                        <w:rtl/>
                      </w:rPr>
                      <w:alias w:val="2241"/>
                      <w:tag w:val="2241"/>
                      <w:id w:val="-2097088705"/>
                    </w:sdtPr>
                    <w:sdtEndPr/>
                    <w:sdtContent>
                      <w:r w:rsidR="00670289">
                        <w:rPr>
                          <w:rtl/>
                        </w:rPr>
                        <w:t>עטר</w:t>
                      </w:r>
                    </w:sdtContent>
                  </w:sdt>
                  <w:r w:rsidR="00670289">
                    <w:rPr>
                      <w:rFonts w:hint="cs"/>
                      <w:rtl/>
                    </w:rPr>
                    <w:t xml:space="preserve">, </w:t>
                  </w:r>
                  <w:sdt>
                    <w:sdtPr>
                      <w:rPr>
                        <w:rFonts w:cs="Times New Roman"/>
                        <w:rtl/>
                      </w:rPr>
                      <w:alias w:val="2246"/>
                      <w:tag w:val="2246"/>
                      <w:id w:val="-1989393221"/>
                    </w:sdtPr>
                    <w:sdtEndPr/>
                    <w:sdtContent>
                      <w:r w:rsidR="00670289">
                        <w:rPr>
                          <w:rtl/>
                        </w:rPr>
                        <w:t>שופטת</w:t>
                      </w:r>
                    </w:sdtContent>
                  </w:sdt>
                </w:p>
              </w:tc>
              <w:tc>
                <w:tcPr>
                  <w:tcW w:w="2891" w:type="dxa"/>
                  <w:vAlign w:val="center"/>
                  <w:hideMark/>
                </w:tcPr>
                <w:p w:rsidR="00670289" w:rsidRDefault="00AD3999" w:rsidP="00670289">
                  <w:pPr>
                    <w:spacing w:line="360" w:lineRule="auto"/>
                    <w:jc w:val="center"/>
                    <w:rPr>
                      <w:rFonts w:ascii="David" w:hAnsi="David"/>
                      <w:rtl/>
                    </w:rPr>
                  </w:pPr>
                  <w:sdt>
                    <w:sdtPr>
                      <w:rPr>
                        <w:rtl/>
                      </w:rPr>
                      <w:alias w:val="2237"/>
                      <w:tag w:val="2237"/>
                      <w:id w:val="-31890643"/>
                    </w:sdtPr>
                    <w:sdtEndPr/>
                    <w:sdtContent>
                      <w:r w:rsidR="00670289">
                        <w:rPr>
                          <w:rFonts w:ascii="David" w:hAnsi="David"/>
                          <w:rtl/>
                        </w:rPr>
                        <w:t>עמי</w:t>
                      </w:r>
                    </w:sdtContent>
                  </w:sdt>
                  <w:r w:rsidR="00670289">
                    <w:rPr>
                      <w:rFonts w:hint="cs"/>
                      <w:rtl/>
                    </w:rPr>
                    <w:t xml:space="preserve"> </w:t>
                  </w:r>
                  <w:sdt>
                    <w:sdtPr>
                      <w:rPr>
                        <w:rFonts w:cs="Times New Roman"/>
                        <w:rtl/>
                      </w:rPr>
                      <w:alias w:val="2242"/>
                      <w:tag w:val="2242"/>
                      <w:id w:val="358854881"/>
                    </w:sdtPr>
                    <w:sdtEndPr/>
                    <w:sdtContent>
                      <w:r w:rsidR="00670289">
                        <w:rPr>
                          <w:rtl/>
                        </w:rPr>
                        <w:t>קובו</w:t>
                      </w:r>
                    </w:sdtContent>
                  </w:sdt>
                  <w:r w:rsidR="00670289">
                    <w:rPr>
                      <w:rFonts w:hint="cs"/>
                      <w:rtl/>
                    </w:rPr>
                    <w:t xml:space="preserve">, </w:t>
                  </w:r>
                  <w:sdt>
                    <w:sdtPr>
                      <w:rPr>
                        <w:rFonts w:cs="Times New Roman"/>
                        <w:rtl/>
                      </w:rPr>
                      <w:alias w:val="2247"/>
                      <w:tag w:val="2247"/>
                      <w:id w:val="243227774"/>
                    </w:sdtPr>
                    <w:sdtEndPr/>
                    <w:sdtContent>
                      <w:r w:rsidR="00670289">
                        <w:rPr>
                          <w:rtl/>
                        </w:rPr>
                        <w:t>שופט, סגן הנשיאה</w:t>
                      </w:r>
                    </w:sdtContent>
                  </w:sdt>
                </w:p>
              </w:tc>
            </w:tr>
            <w:tr w:rsidR="00670289" w:rsidTr="00670289">
              <w:tc>
                <w:tcPr>
                  <w:tcW w:w="2891" w:type="dxa"/>
                  <w:vAlign w:val="center"/>
                </w:tcPr>
                <w:p w:rsidR="00670289" w:rsidRDefault="00670289" w:rsidP="00670289">
                  <w:pPr>
                    <w:spacing w:line="360" w:lineRule="auto"/>
                    <w:jc w:val="center"/>
                    <w:rPr>
                      <w:rFonts w:ascii="David" w:hAnsi="David"/>
                      <w:rtl/>
                    </w:rPr>
                  </w:pPr>
                </w:p>
              </w:tc>
              <w:tc>
                <w:tcPr>
                  <w:tcW w:w="2891" w:type="dxa"/>
                  <w:vAlign w:val="center"/>
                </w:tcPr>
                <w:p w:rsidR="00670289" w:rsidRDefault="00670289" w:rsidP="00670289">
                  <w:pPr>
                    <w:spacing w:line="360" w:lineRule="auto"/>
                    <w:jc w:val="center"/>
                    <w:rPr>
                      <w:rFonts w:ascii="David" w:hAnsi="David"/>
                      <w:rtl/>
                    </w:rPr>
                  </w:pPr>
                </w:p>
              </w:tc>
              <w:tc>
                <w:tcPr>
                  <w:tcW w:w="2891" w:type="dxa"/>
                  <w:vAlign w:val="center"/>
                </w:tcPr>
                <w:p w:rsidR="00670289" w:rsidRDefault="00670289" w:rsidP="00670289">
                  <w:pPr>
                    <w:spacing w:line="360" w:lineRule="auto"/>
                    <w:jc w:val="center"/>
                    <w:rPr>
                      <w:rFonts w:ascii="David" w:hAnsi="David"/>
                      <w:rtl/>
                    </w:rPr>
                  </w:pPr>
                </w:p>
              </w:tc>
            </w:tr>
          </w:tbl>
          <w:p w:rsidR="00670289" w:rsidRDefault="00670289" w:rsidP="00670289">
            <w:pPr>
              <w:rPr>
                <w:rFonts w:ascii="David" w:hAnsi="David"/>
                <w:rtl/>
              </w:rPr>
            </w:pPr>
          </w:p>
          <w:p w:rsidR="00670289" w:rsidRDefault="00670289" w:rsidP="00670289">
            <w:pPr>
              <w:rPr>
                <w:rtl/>
              </w:rPr>
            </w:pPr>
          </w:p>
          <w:p w:rsidR="00670289" w:rsidRDefault="00670289" w:rsidP="00670289">
            <w:pPr>
              <w:spacing w:line="360" w:lineRule="auto"/>
              <w:jc w:val="both"/>
              <w:rPr>
                <w:sz w:val="6"/>
                <w:szCs w:val="6"/>
                <w:rtl/>
              </w:rPr>
            </w:pPr>
          </w:p>
          <w:tbl>
            <w:tblPr>
              <w:tblStyle w:val="ac"/>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670289" w:rsidTr="00670289">
              <w:tc>
                <w:tcPr>
                  <w:tcW w:w="2891" w:type="dxa"/>
                  <w:vAlign w:val="center"/>
                </w:tcPr>
                <w:p w:rsidR="00670289" w:rsidRDefault="00670289" w:rsidP="00670289">
                  <w:pPr>
                    <w:spacing w:line="360" w:lineRule="auto"/>
                    <w:jc w:val="center"/>
                    <w:rPr>
                      <w:rFonts w:ascii="David" w:hAnsi="David"/>
                      <w:rtl/>
                    </w:rPr>
                  </w:pPr>
                </w:p>
                <w:p w:rsidR="00670289" w:rsidRDefault="00670289" w:rsidP="00670289">
                  <w:pPr>
                    <w:spacing w:line="360" w:lineRule="auto"/>
                    <w:jc w:val="center"/>
                    <w:rPr>
                      <w:rFonts w:ascii="David" w:hAnsi="David"/>
                      <w:rtl/>
                    </w:rPr>
                  </w:pPr>
                </w:p>
              </w:tc>
              <w:tc>
                <w:tcPr>
                  <w:tcW w:w="2891" w:type="dxa"/>
                  <w:vAlign w:val="center"/>
                </w:tcPr>
                <w:p w:rsidR="00670289" w:rsidRDefault="00670289" w:rsidP="00670289">
                  <w:pPr>
                    <w:jc w:val="center"/>
                    <w:rPr>
                      <w:rFonts w:ascii="David" w:hAnsi="David"/>
                      <w:rtl/>
                    </w:rPr>
                  </w:pPr>
                </w:p>
                <w:p w:rsidR="00670289" w:rsidRDefault="00670289" w:rsidP="00670289">
                  <w:pPr>
                    <w:spacing w:line="360" w:lineRule="auto"/>
                    <w:jc w:val="center"/>
                    <w:rPr>
                      <w:rFonts w:ascii="David" w:hAnsi="David"/>
                      <w:rtl/>
                    </w:rPr>
                  </w:pPr>
                </w:p>
              </w:tc>
              <w:tc>
                <w:tcPr>
                  <w:tcW w:w="2891" w:type="dxa"/>
                  <w:vAlign w:val="center"/>
                </w:tcPr>
                <w:p w:rsidR="00670289" w:rsidRDefault="00670289" w:rsidP="00670289">
                  <w:pPr>
                    <w:spacing w:line="360" w:lineRule="auto"/>
                    <w:jc w:val="center"/>
                    <w:rPr>
                      <w:rFonts w:ascii="David" w:hAnsi="David"/>
                      <w:rtl/>
                    </w:rPr>
                  </w:pPr>
                </w:p>
                <w:p w:rsidR="00670289" w:rsidRDefault="00670289" w:rsidP="00670289">
                  <w:pPr>
                    <w:spacing w:line="360" w:lineRule="auto"/>
                    <w:jc w:val="center"/>
                    <w:rPr>
                      <w:rFonts w:ascii="David" w:hAnsi="David"/>
                      <w:rtl/>
                    </w:rPr>
                  </w:pPr>
                </w:p>
              </w:tc>
            </w:tr>
          </w:tbl>
          <w:p w:rsidR="00670289" w:rsidRDefault="00670289" w:rsidP="00670289">
            <w:pPr>
              <w:rPr>
                <w:rFonts w:ascii="David" w:hAnsi="David"/>
                <w:rtl/>
              </w:rPr>
            </w:pPr>
          </w:p>
          <w:p w:rsidR="00D44968" w:rsidRPr="00D44968" w:rsidRDefault="00D44968" w:rsidP="001A3D5C">
            <w:pP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999" w:rsidRDefault="00AD3999">
      <w:r>
        <w:separator/>
      </w:r>
    </w:p>
  </w:endnote>
  <w:endnote w:type="continuationSeparator" w:id="0">
    <w:p w:rsidR="00AD3999" w:rsidRDefault="00AD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7"/>
      <w:jc w:val="center"/>
      <w:rPr>
        <w:rStyle w:val="ae"/>
        <w:rFonts w:ascii="David" w:hAnsi="David"/>
      </w:rPr>
    </w:pPr>
    <w:r w:rsidRPr="00E765F7">
      <w:rPr>
        <w:rStyle w:val="ae"/>
        <w:rFonts w:ascii="David" w:hAnsi="David"/>
      </w:rPr>
      <w:fldChar w:fldCharType="begin"/>
    </w:r>
    <w:r w:rsidR="00005C8B" w:rsidRPr="00E765F7">
      <w:rPr>
        <w:rStyle w:val="ae"/>
        <w:rFonts w:ascii="David" w:hAnsi="David"/>
      </w:rPr>
      <w:instrText xml:space="preserve"> PAGE </w:instrText>
    </w:r>
    <w:r w:rsidRPr="00E765F7">
      <w:rPr>
        <w:rStyle w:val="ae"/>
        <w:rFonts w:ascii="David" w:hAnsi="David"/>
      </w:rPr>
      <w:fldChar w:fldCharType="separate"/>
    </w:r>
    <w:r w:rsidR="00F04861">
      <w:rPr>
        <w:rStyle w:val="ae"/>
        <w:rFonts w:ascii="David" w:hAnsi="David"/>
        <w:rtl/>
      </w:rPr>
      <w:t>1</w:t>
    </w:r>
    <w:r w:rsidRPr="00E765F7">
      <w:rPr>
        <w:rStyle w:val="ae"/>
        <w:rFonts w:ascii="David" w:hAnsi="David"/>
      </w:rPr>
      <w:fldChar w:fldCharType="end"/>
    </w:r>
    <w:r w:rsidR="00005C8B" w:rsidRPr="00E765F7">
      <w:rPr>
        <w:rStyle w:val="ae"/>
        <w:rFonts w:ascii="David" w:hAnsi="David"/>
        <w:rtl/>
      </w:rPr>
      <w:t xml:space="preserve"> מתוך </w:t>
    </w:r>
    <w:r w:rsidRPr="00E765F7">
      <w:rPr>
        <w:rStyle w:val="ae"/>
        <w:rFonts w:ascii="David" w:hAnsi="David"/>
      </w:rPr>
      <w:fldChar w:fldCharType="begin"/>
    </w:r>
    <w:r w:rsidR="00005C8B" w:rsidRPr="00E765F7">
      <w:rPr>
        <w:rStyle w:val="ae"/>
        <w:rFonts w:ascii="David" w:hAnsi="David"/>
      </w:rPr>
      <w:instrText xml:space="preserve"> NUMPAGES </w:instrText>
    </w:r>
    <w:r w:rsidRPr="00E765F7">
      <w:rPr>
        <w:rStyle w:val="ae"/>
        <w:rFonts w:ascii="David" w:hAnsi="David"/>
      </w:rPr>
      <w:fldChar w:fldCharType="separate"/>
    </w:r>
    <w:r w:rsidR="00F04861">
      <w:rPr>
        <w:rStyle w:val="ae"/>
        <w:rFonts w:ascii="David" w:hAnsi="David"/>
        <w:rtl/>
      </w:rPr>
      <w:t>1</w:t>
    </w:r>
    <w:r w:rsidRPr="00E765F7">
      <w:rPr>
        <w:rStyle w:val="ae"/>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999" w:rsidRDefault="00AD3999">
      <w:r>
        <w:separator/>
      </w:r>
    </w:p>
  </w:footnote>
  <w:footnote w:type="continuationSeparator" w:id="0">
    <w:p w:rsidR="00AD3999" w:rsidRDefault="00AD3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Default="00AD3999" w:rsidP="008E757A">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69405-01-23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8E757A">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034CE4AA"/>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A7060B2E"/>
    <w:lvl w:ilvl="0" w:tplc="5F5CA2FA">
      <w:start w:val="1"/>
      <w:numFmt w:val="decimal"/>
      <w:pStyle w:val="a0"/>
      <w:lvlText w:val="%1."/>
      <w:lvlJc w:val="left"/>
      <w:pPr>
        <w:tabs>
          <w:tab w:val="num" w:pos="720"/>
        </w:tabs>
        <w:ind w:left="720" w:hanging="720"/>
      </w:pPr>
      <w:rPr>
        <w:b w:val="0"/>
        <w:bCs w:val="0"/>
        <w:lang w:bidi="he-IL"/>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562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56225&amp;lt;/CaseID&amp;gt;_x000d__x000a_        &amp;lt;CaseMonth&amp;gt;1&amp;lt;/CaseMonth&amp;gt;_x000d__x000a_        &amp;lt;CaseYear&amp;gt;2023&amp;lt;/CaseYear&amp;gt;_x000d__x000a_        &amp;lt;CaseNumber&amp;gt;69405&amp;lt;/CaseNumber&amp;gt;_x000d__x000a_        &amp;lt;NumeratorGroupID&amp;gt;1&amp;lt;/NumeratorGroupID&amp;gt;_x000d__x000a_        &amp;lt;CaseName&amp;gt;מדינת ישראל נ&amp;#39; מאיר(אסור בפרסום)&amp;lt;/CaseName&amp;gt;_x000d__x000a_        &amp;lt;CourtID&amp;gt;896&amp;lt;/CourtID&amp;gt;_x000d__x000a_        &amp;lt;CaseTypeID&amp;gt;10284&amp;lt;/CaseTypeID&amp;gt;_x000d__x000a_        &amp;lt;CaseJudgeName&amp;gt;רות לורך&amp;lt;/CaseJudgeName&amp;gt;_x000d__x000a_        &amp;lt;CaseLinkTypeID&amp;gt;7&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69405-01-23&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3-01-29T10:10: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רות&amp;lt;/CaseJudgeFirstName&amp;gt;_x000d__x000a_        &amp;lt;CaseJudgeLastName&amp;gt;לורך&amp;lt;/CaseJudgeLastName&amp;gt;_x000d__x000a_        &amp;lt;JudicalPersonID&amp;gt;054586292@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קיים תיק עזרונ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56225&amp;lt;/CaseID&amp;gt;_x000d__x000a_        &amp;lt;CaseMonth&amp;gt;1&amp;lt;/CaseMonth&amp;gt;_x000d__x000a_        &amp;lt;CaseYear&amp;gt;2023&amp;lt;/CaseYear&amp;gt;_x000d__x000a_        &amp;lt;CaseNumber&amp;gt;69405&amp;lt;/CaseNumber&amp;gt;_x000d__x000a_        &amp;lt;NumeratorGroupID&amp;gt;1&amp;lt;/NumeratorGroupID&amp;gt;_x000d__x000a_        &amp;lt;CaseName&amp;gt;מדינת ישראל נ&amp;#39; מאיר(אסור בפרסום)&amp;lt;/CaseName&amp;gt;_x000d__x000a_        &amp;lt;CourtID&amp;gt;896&amp;lt;/CourtID&amp;gt;_x000d__x000a_        &amp;lt;CaseTypeID&amp;gt;10284&amp;lt;/CaseTypeID&amp;gt;_x000d__x000a_        &amp;lt;CaseJudgeName&amp;gt;רות לורך&amp;lt;/CaseJudgeName&amp;gt;_x000d__x000a_        &amp;lt;CaseLinkTypeID&amp;gt;7&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69405-01-23&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OpenDate&amp;gt;2023-01-29T10:10: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רות&amp;lt;/CaseJudgeFirstName&amp;gt;_x000d__x000a_        &amp;lt;CaseJudgeLastName&amp;gt;לורך&amp;lt;/CaseJudgeLastName&amp;gt;_x000d__x000a_        &amp;lt;JudicalPersonID&amp;gt;054586292@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קיים תיק עזרו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03112&amp;lt;/DecisionID&amp;gt;_x000d__x000a_        &amp;lt;DecisionName&amp;gt;החלטה  שניתנה ע&amp;quot;י  עמי קובו&amp;lt;/DecisionName&amp;gt;_x000d__x000a_        &amp;lt;DecisionStatusID&amp;gt;1&amp;lt;/DecisionStatusID&amp;gt;_x000d__x000a_        &amp;lt;DecisionStatusChangeDate&amp;gt;2024-09-10T11:26:03.337+03:00&amp;lt;/DecisionStatusChangeDate&amp;gt;_x000d__x000a_        &amp;lt;DecisionSignatureDate&amp;gt;2024-09-10T11:26:01.113+03:00&amp;lt;/DecisionSignatureDate&amp;gt;_x000d__x000a_        &amp;lt;DecisionSignatureUserID&amp;gt;029737269@GOV.IL&amp;lt;/DecisionSignatureUserID&amp;gt;_x000d__x000a_        &amp;lt;DecisionCreateDate&amp;gt;2024-09-10T10:51:31.523+03:00&amp;lt;/DecisionCreateDate&amp;gt;_x000d__x000a_        &amp;lt;DecisionChangeDate&amp;gt;2024-09-10T11:26:03.357+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69100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4803112&amp;lt;/DecisionID&amp;gt;_x000d__x000a_        &amp;lt;CaseID&amp;gt;79956225&amp;lt;/CaseID&amp;gt;_x000d__x000a_        &amp;lt;IsOriginal&amp;gt;true&amp;lt;/IsOriginal&amp;gt;_x000d__x000a_        &amp;lt;IsDeleted&amp;gt;false&amp;lt;/IsDeleted&amp;gt;_x000d__x000a_        &amp;lt;CaseName&amp;gt;מדינת ישראל נ&amp;#39; מאיר(אסור בפרסום)&amp;lt;/CaseName&amp;gt;_x000d__x000a_        &amp;lt;CaseDisplayIdentifier&amp;gt;69405-01-23 תפח&amp;quot;ע&amp;lt;/CaseDisplayIdentifier&amp;gt;_x000d__x000a_      &amp;lt;/dt_DecisionCase&amp;gt;_x000d__x000a_      &amp;lt;dt_DecisionJudgePanel diffgr:id=&amp;quot;dt_DecisionJudgePanel1&amp;quot; msdata:rowOrder=&amp;quot;0&amp;quot;&amp;gt;_x000d__x000a_        &amp;lt;DecisionID&amp;gt;154803112&amp;lt;/DecisionID&amp;gt;_x000d__x000a_        &amp;lt;JudgeID&amp;gt;054586292@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803112&amp;lt;/DecisionID&amp;gt;_x000d__x000a_        &amp;lt;JudgeID&amp;gt;05659384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803112&amp;lt;/DecisionID&amp;gt;_x000d__x000a_        &amp;lt;JudgeID&amp;gt;029737269@GOV.IL&amp;lt;/JudgeID&amp;gt;_x000d__x000a_        &amp;lt;OrdinalNumber&amp;gt;3&amp;lt;/OrdinalNumber&amp;gt;_x000d__x000a_      &amp;lt;/dt_DecisionJudgePanel&amp;gt;_x000d__x000a_    &amp;lt;/DecisionDS&amp;gt;_x000d__x000a_  &amp;lt;/diffgr:diffgram&amp;gt;_x000d__x000a_&amp;lt;/DecisionDS&amp;gt;"/>
    <w:docVar w:name="DecisionID" w:val="154803112"/>
    <w:docVar w:name="docID" w:val="454691005"/>
    <w:docVar w:name="judgeUPN" w:val="029737269@GOV.IL"/>
    <w:docVar w:name="NGCS.TemplateCaseInterestID" w:val="-1"/>
    <w:docVar w:name="NGCS.TemplateCaseTypeID" w:val="10284"/>
    <w:docVar w:name="NGCS.TemplateCourtID" w:val="896"/>
    <w:docVar w:name="NGCS.TemplateProceedingID" w:val="2"/>
    <w:docVar w:name="noteDocID" w:val="454691005"/>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1DB2"/>
    <w:rsid w:val="00180519"/>
    <w:rsid w:val="00191C82"/>
    <w:rsid w:val="001A3D5C"/>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17AE"/>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25E7"/>
    <w:rsid w:val="004D3AA0"/>
    <w:rsid w:val="004E1987"/>
    <w:rsid w:val="004E2E15"/>
    <w:rsid w:val="004E6E3C"/>
    <w:rsid w:val="00511B90"/>
    <w:rsid w:val="00520898"/>
    <w:rsid w:val="00523621"/>
    <w:rsid w:val="00524986"/>
    <w:rsid w:val="005268F6"/>
    <w:rsid w:val="00534284"/>
    <w:rsid w:val="00547DB7"/>
    <w:rsid w:val="005A0080"/>
    <w:rsid w:val="005C0627"/>
    <w:rsid w:val="005F4F09"/>
    <w:rsid w:val="0061431B"/>
    <w:rsid w:val="00622BAA"/>
    <w:rsid w:val="006306CF"/>
    <w:rsid w:val="006318D8"/>
    <w:rsid w:val="00644E9A"/>
    <w:rsid w:val="00670289"/>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8E757A"/>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D3999"/>
    <w:rsid w:val="00AE0E34"/>
    <w:rsid w:val="00AE729E"/>
    <w:rsid w:val="00AE7752"/>
    <w:rsid w:val="00AF7FDA"/>
    <w:rsid w:val="00B5356E"/>
    <w:rsid w:val="00B62AD7"/>
    <w:rsid w:val="00B66717"/>
    <w:rsid w:val="00B809AD"/>
    <w:rsid w:val="00B80CBD"/>
    <w:rsid w:val="00B86096"/>
    <w:rsid w:val="00B95D6E"/>
    <w:rsid w:val="00B964D9"/>
    <w:rsid w:val="00B96B24"/>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71D97"/>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4861"/>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C64423"/>
    <w:pPr>
      <w:tabs>
        <w:tab w:val="center" w:pos="4153"/>
        <w:tab w:val="right" w:pos="8306"/>
      </w:tabs>
    </w:pPr>
  </w:style>
  <w:style w:type="paragraph" w:styleId="a7">
    <w:name w:val="footer"/>
    <w:basedOn w:val="a1"/>
    <w:rsid w:val="00C64423"/>
    <w:pPr>
      <w:tabs>
        <w:tab w:val="center" w:pos="4153"/>
        <w:tab w:val="right" w:pos="8306"/>
      </w:tabs>
    </w:pPr>
  </w:style>
  <w:style w:type="paragraph" w:customStyle="1" w:styleId="a8">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9">
    <w:name w:val="annotation text"/>
    <w:basedOn w:val="a1"/>
    <w:semiHidden/>
    <w:rsid w:val="00C64423"/>
    <w:rPr>
      <w:rFonts w:cs="Times New Roman"/>
      <w:noProof w:val="0"/>
    </w:rPr>
  </w:style>
  <w:style w:type="character" w:styleId="aa">
    <w:name w:val="annotation reference"/>
    <w:basedOn w:val="a2"/>
    <w:semiHidden/>
    <w:rsid w:val="00C64423"/>
    <w:rPr>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style>
  <w:style w:type="character" w:styleId="ae">
    <w:name w:val="page number"/>
    <w:basedOn w:val="a2"/>
    <w:rsid w:val="00C64423"/>
  </w:style>
  <w:style w:type="table" w:customStyle="1" w:styleId="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color w:val="808080"/>
    </w:rPr>
  </w:style>
  <w:style w:type="character" w:customStyle="1" w:styleId="a6">
    <w:name w:val="כותרת עליונה תו"/>
    <w:basedOn w:val="a2"/>
    <w:link w:val="a5"/>
    <w:rsid w:val="00670289"/>
    <w:rPr>
      <w:rFonts w:cs="David"/>
      <w:noProof/>
      <w:sz w:val="24"/>
      <w:szCs w:val="24"/>
    </w:rPr>
  </w:style>
  <w:style w:type="paragraph" w:styleId="af0">
    <w:name w:val="List"/>
    <w:basedOn w:val="a1"/>
    <w:semiHidden/>
    <w:unhideWhenUsed/>
    <w:rsid w:val="00670289"/>
    <w:pPr>
      <w:ind w:left="283" w:hanging="283"/>
    </w:pPr>
    <w:rPr>
      <w:rFonts w:cs="Times New Roman"/>
      <w:noProof w:val="0"/>
    </w:rPr>
  </w:style>
  <w:style w:type="paragraph" w:styleId="a">
    <w:name w:val="List Number"/>
    <w:basedOn w:val="a1"/>
    <w:unhideWhenUsed/>
    <w:rsid w:val="00670289"/>
    <w:pPr>
      <w:numPr>
        <w:numId w:val="1"/>
      </w:numPr>
      <w:spacing w:after="120" w:line="360" w:lineRule="auto"/>
      <w:ind w:right="360"/>
    </w:pPr>
    <w:rPr>
      <w:noProof w:val="0"/>
    </w:rPr>
  </w:style>
  <w:style w:type="paragraph" w:customStyle="1" w:styleId="12">
    <w:name w:val="רגיל + ‏12 נק'"/>
    <w:aliases w:val="מיושר לשני הצדדים,מרווח בין שורות:  שורה וחצי"/>
    <w:basedOn w:val="a1"/>
    <w:rsid w:val="00670289"/>
    <w:rPr>
      <w:b/>
      <w:bCs/>
      <w:noProof w:val="0"/>
      <w:u w:val="single"/>
    </w:rPr>
  </w:style>
  <w:style w:type="paragraph" w:customStyle="1" w:styleId="af1">
    <w:name w:val="כותרת"/>
    <w:basedOn w:val="a1"/>
    <w:next w:val="af0"/>
    <w:autoRedefine/>
    <w:rsid w:val="00670289"/>
    <w:pPr>
      <w:spacing w:after="120" w:line="360" w:lineRule="auto"/>
      <w:ind w:left="707" w:hanging="708"/>
      <w:jc w:val="both"/>
    </w:pPr>
    <w:rPr>
      <w:bCs/>
      <w:noProof w:val="0"/>
      <w:u w:val="single"/>
      <w:lang w:eastAsia="he-IL"/>
    </w:rPr>
  </w:style>
  <w:style w:type="paragraph" w:customStyle="1" w:styleId="a0">
    <w:name w:val="ממוספר"/>
    <w:basedOn w:val="a1"/>
    <w:rsid w:val="00670289"/>
    <w:pPr>
      <w:numPr>
        <w:numId w:val="2"/>
      </w:numPr>
      <w:spacing w:after="120" w:line="360" w:lineRule="auto"/>
    </w:pPr>
    <w:rPr>
      <w:rFonts w:ascii="David" w:hAnsi="David"/>
      <w:noProof w:val="0"/>
      <w:color w:val="000000"/>
    </w:rPr>
  </w:style>
  <w:style w:type="character" w:customStyle="1" w:styleId="TimesNewRomanTimesNewRoman">
    <w:name w:val="סגנון (לטיני) Times New Roman (עברית ושפות אחרות) Times New Roman..."/>
    <w:basedOn w:val="a2"/>
    <w:rsid w:val="00670289"/>
    <w:rPr>
      <w:rFonts w:ascii="Times New Roman" w:hAnsi="Times New Roman" w:cs="David" w:hint="default"/>
      <w:b/>
      <w:bCs/>
      <w:sz w:val="26"/>
      <w:szCs w:val="26"/>
    </w:rPr>
  </w:style>
  <w:style w:type="character" w:customStyle="1" w:styleId="default">
    <w:name w:val="default"/>
    <w:rsid w:val="00670289"/>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76288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9BED018779964C00BA3DEFCA9B37AFB2"/>
        <w:category>
          <w:name w:val="כללי"/>
          <w:gallery w:val="placeholder"/>
        </w:category>
        <w:types>
          <w:type w:val="bbPlcHdr"/>
        </w:types>
        <w:behaviors>
          <w:behavior w:val="content"/>
        </w:behaviors>
        <w:guid w:val="{81F60E62-2B86-4DB0-A14A-3FB71962916E}"/>
      </w:docPartPr>
      <w:docPartBody>
        <w:p w:rsidR="007F5AB4" w:rsidRDefault="00D72FCF" w:rsidP="00D72FCF">
          <w:pPr>
            <w:pStyle w:val="9BED018779964C00BA3DEFCA9B37AFB2"/>
          </w:pPr>
          <w:r>
            <w:rPr>
              <w:b/>
              <w:bCs/>
              <w:sz w:val="26"/>
              <w:szCs w:val="26"/>
              <w:rtl/>
            </w:rPr>
            <w:t>תאור קבוצת שיכות צד א'</w:t>
          </w:r>
        </w:p>
      </w:docPartBody>
    </w:docPart>
    <w:docPart>
      <w:docPartPr>
        <w:name w:val="4E45F84E32494DF6ADAE98447B3A82C8"/>
        <w:category>
          <w:name w:val="כללי"/>
          <w:gallery w:val="placeholder"/>
        </w:category>
        <w:types>
          <w:type w:val="bbPlcHdr"/>
        </w:types>
        <w:behaviors>
          <w:behavior w:val="content"/>
        </w:behaviors>
        <w:guid w:val="{FE7B02DA-8B75-41F1-A430-481E37AF0E36}"/>
      </w:docPartPr>
      <w:docPartBody>
        <w:p w:rsidR="007F5AB4" w:rsidRDefault="00D72FCF" w:rsidP="00D72FCF">
          <w:pPr>
            <w:pStyle w:val="4E45F84E32494DF6ADAE98447B3A82C8"/>
          </w:pPr>
          <w:r>
            <w:rPr>
              <w:b/>
              <w:bCs/>
              <w:sz w:val="26"/>
              <w:szCs w:val="26"/>
              <w:rtl/>
            </w:rPr>
            <w:t>סוג זיהוי צד א</w:t>
          </w:r>
        </w:p>
      </w:docPartBody>
    </w:docPart>
    <w:docPart>
      <w:docPartPr>
        <w:name w:val="618A93D798204D18B1D8EDFE2F626820"/>
        <w:category>
          <w:name w:val="כללי"/>
          <w:gallery w:val="placeholder"/>
        </w:category>
        <w:types>
          <w:type w:val="bbPlcHdr"/>
        </w:types>
        <w:behaviors>
          <w:behavior w:val="content"/>
        </w:behaviors>
        <w:guid w:val="{A0EE7D26-A124-4415-9F38-566EC7D0CC26}"/>
      </w:docPartPr>
      <w:docPartBody>
        <w:p w:rsidR="007F5AB4" w:rsidRDefault="00D72FCF" w:rsidP="00D72FCF">
          <w:pPr>
            <w:pStyle w:val="618A93D798204D18B1D8EDFE2F626820"/>
          </w:pPr>
          <w:r>
            <w:rPr>
              <w:b/>
              <w:bCs/>
              <w:sz w:val="26"/>
              <w:szCs w:val="26"/>
              <w:rtl/>
            </w:rPr>
            <w:t>מספר זיהוי צד א</w:t>
          </w:r>
        </w:p>
      </w:docPartBody>
    </w:docPart>
    <w:docPart>
      <w:docPartPr>
        <w:name w:val="85AF9818C0864309A998BFD0B1CAD9B2"/>
        <w:category>
          <w:name w:val="כללי"/>
          <w:gallery w:val="placeholder"/>
        </w:category>
        <w:types>
          <w:type w:val="bbPlcHdr"/>
        </w:types>
        <w:behaviors>
          <w:behavior w:val="content"/>
        </w:behaviors>
        <w:guid w:val="{D52701D3-2CE6-4348-A8D1-D89929E0CAF4}"/>
      </w:docPartPr>
      <w:docPartBody>
        <w:p w:rsidR="007F5AB4" w:rsidRDefault="00D72FCF" w:rsidP="00D72FCF">
          <w:pPr>
            <w:pStyle w:val="85AF9818C0864309A998BFD0B1CAD9B2"/>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2582"/>
    <w:rsid w:val="005157ED"/>
    <w:rsid w:val="00556D67"/>
    <w:rsid w:val="00673B50"/>
    <w:rsid w:val="00685D4F"/>
    <w:rsid w:val="00793995"/>
    <w:rsid w:val="007C6F98"/>
    <w:rsid w:val="007E254A"/>
    <w:rsid w:val="007F5AB4"/>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D72FCF"/>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EF5D2EEEF1A941209C34B9232FBC403F">
    <w:name w:val="EF5D2EEEF1A941209C34B9232FBC403F"/>
    <w:rsid w:val="00D72FCF"/>
    <w:pPr>
      <w:bidi/>
      <w:spacing w:after="160" w:line="259" w:lineRule="auto"/>
    </w:pPr>
  </w:style>
  <w:style w:type="paragraph" w:customStyle="1" w:styleId="A13DAA88C5804C749028953CCC04A681">
    <w:name w:val="A13DAA88C5804C749028953CCC04A681"/>
    <w:rsid w:val="00D72FCF"/>
    <w:pPr>
      <w:bidi/>
      <w:spacing w:after="160" w:line="259" w:lineRule="auto"/>
    </w:pPr>
  </w:style>
  <w:style w:type="paragraph" w:customStyle="1" w:styleId="9BED018779964C00BA3DEFCA9B37AFB2">
    <w:name w:val="9BED018779964C00BA3DEFCA9B37AFB2"/>
    <w:rsid w:val="00D72FCF"/>
    <w:pPr>
      <w:bidi/>
      <w:spacing w:after="160" w:line="259" w:lineRule="auto"/>
    </w:pPr>
  </w:style>
  <w:style w:type="paragraph" w:customStyle="1" w:styleId="4E45F84E32494DF6ADAE98447B3A82C8">
    <w:name w:val="4E45F84E32494DF6ADAE98447B3A82C8"/>
    <w:rsid w:val="00D72FCF"/>
    <w:pPr>
      <w:bidi/>
      <w:spacing w:after="160" w:line="259" w:lineRule="auto"/>
    </w:pPr>
  </w:style>
  <w:style w:type="paragraph" w:customStyle="1" w:styleId="618A93D798204D18B1D8EDFE2F626820">
    <w:name w:val="618A93D798204D18B1D8EDFE2F626820"/>
    <w:rsid w:val="00D72FCF"/>
    <w:pPr>
      <w:bidi/>
      <w:spacing w:after="160" w:line="259" w:lineRule="auto"/>
    </w:pPr>
  </w:style>
  <w:style w:type="paragraph" w:customStyle="1" w:styleId="85AF9818C0864309A998BFD0B1CAD9B2">
    <w:name w:val="85AF9818C0864309A998BFD0B1CAD9B2"/>
    <w:rsid w:val="00D72FCF"/>
    <w:pPr>
      <w:bidi/>
      <w:spacing w:after="160" w:line="259" w:lineRule="auto"/>
    </w:pPr>
  </w:style>
  <w:style w:type="paragraph" w:customStyle="1" w:styleId="A5DCFA85D61E4698A97DEF1961204E8F">
    <w:name w:val="A5DCFA85D61E4698A97DEF1961204E8F"/>
    <w:rsid w:val="00D72FCF"/>
    <w:pPr>
      <w:bidi/>
      <w:spacing w:after="160" w:line="259" w:lineRule="auto"/>
    </w:pPr>
  </w:style>
  <w:style w:type="paragraph" w:customStyle="1" w:styleId="4F035792F75E4ECC8A45248339AEE51D">
    <w:name w:val="4F035792F75E4ECC8A45248339AEE51D"/>
    <w:rsid w:val="00D72FC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262734949</CasePartyID>
        <PartyTypeID>3</PartyTypeID>
        <ActivityStatusID>1</ActivityStatusID>
        <LegalEntityID>21034188</LegalEntityID>
        <CaseLegalEntityID>126695576</CaseLegalEntityID>
        <AssistantRoleID>14</AssistantRoleID>
        <AuthenticationTypeID>13</AuthenticationTypeID>
        <AuthenticationTypeName>משרדי ממשלה</AuthenticationTypeName>
        <LegalEntityNumber>570000779</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רבקה שוורץ</FullName>
        <FirstName>רבקה</FirstName>
        <LastName>שוורץ</LastName>
        <PartyPropertyName/>
        <AuthenticationTypeAndNumber>ת"ז 322285784</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272329767</CasePartyID>
        <PartyTypeID>3</PartyTypeID>
        <ActivityStatusID>1</ActivityStatusID>
        <LegalEntityID>80878963</LegalEntityID>
        <CaseLegalEntityID>129532654</CaseLegalEntityID>
        <AssistantRoleID>12</AssistantRoleID>
        <AuthenticationTypeID>1</AuthenticationTypeID>
        <AuthenticationTypeName>ת"ז</AuthenticationTypeName>
        <LegalEntityNumber>322285784</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לוד </FullAddress>
        <MotionID>0</MotionID>
        <CasePleaID>0</CasePleaID>
        <FatherName>יעקב</FatherName>
        <LinkedCaseID>0</LinkedCaseID>
        <PartyID>1</PartyID>
        <CasePartyCategoryID>2</CasePartyCategoryID>
        <LegalEntityAddressID>89503492</LegalEntityAddressID>
        <PleaTypeID>8</PleaTypeID>
        <GroupPartyAlias/>
        <IsConverted>false</IsConverted>
        <LegalEntityRegisteredNameID>10143350</LegalEntityRegisteredNameID>
        <LegalEntityNameID>96808253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שוורץ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אלישבע שוורץ</FullName>
        <FirstName>אלישבע יהודית</FirstName>
        <LastName>שוורץ</LastName>
        <PartyPropertyName/>
        <AuthenticationTypeAndNumber>ת"ז 206435232</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272329908</CasePartyID>
        <PartyTypeID>3</PartyTypeID>
        <ActivityStatusID>1</ActivityStatusID>
        <LegalEntityID>81994200</LegalEntityID>
        <CaseLegalEntityID>129532693</CaseLegalEntityID>
        <AssistantRoleID>12</AssistantRoleID>
        <AuthenticationTypeID>1</AuthenticationTypeID>
        <AuthenticationTypeName>ת"ז</AuthenticationTypeName>
        <LegalEntityNumber>206435232</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סלומונוביץ 890 קריית שמונה </FullAddress>
        <MotionID>0</MotionID>
        <CasePleaID>0</CasePleaID>
        <FatherName>יעקב</FatherName>
        <LinkedCaseID>0</LinkedCaseID>
        <PartyID>1</PartyID>
        <CasePartyCategoryID>2</CasePartyCategoryID>
        <LegalEntityAddressID>89503505</LegalEntityAddressID>
        <PleaTypeID>8</PleaTypeID>
        <GroupPartyAlias/>
        <IsConverted>false</IsConverted>
        <LegalEntityRegisteredNameID>10804574</LegalEntityRegisteredNameID>
        <LegalEntityNameID>96808267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אלישבע שוורץ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תמר שוורץ</FullName>
        <FirstName>תמר צופיה</FirstName>
        <LastName>שוורץ</LastName>
        <PartyPropertyName/>
        <AuthenticationTypeAndNumber>ת"ז 329504856</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272330255</CasePartyID>
        <PartyTypeID>3</PartyTypeID>
        <ActivityStatusID>1</ActivityStatusID>
        <LegalEntityID>81994211</LegalEntityID>
        <CaseLegalEntityID>129532789</CaseLegalEntityID>
        <AssistantRoleID>12</AssistantRoleID>
        <AuthenticationTypeID>1</AuthenticationTypeID>
        <AuthenticationTypeName>ת"ז</AuthenticationTypeName>
        <LegalEntityNumber>329504856</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סלומונוביץ 890 קריית שמונה </FullAddress>
        <MotionID>0</MotionID>
        <CasePleaID>0</CasePleaID>
        <FatherName>יעקב</FatherName>
        <LinkedCaseID>0</LinkedCaseID>
        <PartyID>1</PartyID>
        <CasePartyCategoryID>2</CasePartyCategoryID>
        <LegalEntityAddressID>89503545</LegalEntityAddressID>
        <PleaTypeID>8</PleaTypeID>
        <GroupPartyAlias/>
        <IsConverted>false</IsConverted>
        <LegalEntityRegisteredNameID>10804581</LegalEntityRegisteredNameID>
        <LegalEntityNameID>96808298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שוורץ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זהבה גבלינגר</FullName>
        <FirstName>זהבה יהודית</FirstName>
        <LastName>גבלינגר</LastName>
        <PartyPropertyName/>
        <AuthenticationTypeAndNumber>ת"ז 216368456</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272330415</CasePartyID>
        <PartyTypeID>3</PartyTypeID>
        <ActivityStatusID>1</ActivityStatusID>
        <LegalEntityID>81977265</LegalEntityID>
        <CaseLegalEntityID>129532850</CaseLegalEntityID>
        <AssistantRoleID>12</AssistantRoleID>
        <AuthenticationTypeID>1</AuthenticationTypeID>
        <AuthenticationTypeName>ת"ז</AuthenticationTypeName>
        <LegalEntityNumber>216368456</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ארלוזורוב 13 יהוד-מונוסון </FullAddress>
        <MotionID>0</MotionID>
        <CasePleaID>0</CasePleaID>
        <FatherName>יאיר</FatherName>
        <LinkedCaseID>0</LinkedCaseID>
        <PartyID>1</PartyID>
        <CasePartyCategoryID>2</CasePartyCategoryID>
        <LegalEntityAddressID>89503569</LegalEntityAddressID>
        <PleaTypeID>8</PleaTypeID>
        <GroupPartyAlias/>
        <IsConverted>false</IsConverted>
        <LegalEntityRegisteredNameID>10794650</LegalEntityRegisteredNameID>
        <LegalEntityNameID>96808332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גבלינגר</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272385165</CasePartyID>
        <PartyTypeID>3</PartyTypeID>
        <ActivityStatusID>1</ActivityStatusID>
        <LegalEntityID>74409308</LegalEntityID>
        <CaseLegalEntityID>129550796</CaseLegalEntityID>
        <AssistantRoleID>101</AssistantRoleID>
        <AuthenticationTypeID>13</AuthenticationTypeID>
        <AuthenticationTypeName>משרדי ממשלה</AuthenticationTypeName>
        <LegalEntityNumber>570001686</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שלומציון גבאי-מנדלמן</FullName>
        <FirstName>שלומציון</FirstName>
        <LastName>גבאי-מנדלמן</LastName>
        <PartyPropertyName/>
        <AuthenticationTypeAndNumber>מ.ר. 19372</AuthenticationTypeAndNumber>
        <RepresentatedOrRepresentativesNames>ישי מאיר</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251219459</CasePartyID>
        <PartyTypeID>2</PartyTypeID>
        <ActivityStatusID>1</ActivityStatusID>
        <PartyAliasID>32</PartyAliasID>
        <PartyAliasName>בא כוח נאשמים</PartyAliasName>
        <LegalEntityID>398324</LegalEntityID>
        <CaseLegalEntityID>122968424</CaseLegalEntityID>
        <AuthenticationTypeID>4</AuthenticationTypeID>
        <AuthenticationTypeName>מ.ר.</AuthenticationTypeName>
        <LegalEntityNumber>19372</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ויצמן 2 תל אביב -יפו </FullAddress>
        <MotionID>0</MotionID>
        <CasePleaID>0</CasePleaID>
        <FatherName xml:space="preserve">        </FatherName>
        <LinkedCaseID>0</LinkedCaseID>
        <PartyID>2</PartyID>
        <CasePartyCategoryID>2</CasePartyCategoryID>
        <LegalEntityAddressID>86568040</LegalEntityAddressID>
        <PleaTypeID>8</PleaTypeID>
        <LawyerOfficeName>משרד עו"ד: ש.מנדלמן</LawyerOfficeName>
        <LawyerOfficeID>428370</LawyerOfficeID>
        <GroupPartyAlias/>
        <IsConverted>false</IsConverted>
        <LegalEntityNameID>19308</LegalEntityNameID>
        <RepresentatedNamesOfAssistant/>
        <LegalEntityTypeID>4</LegalEntityTypeID>
        <IsVerdictExists>false</IsVerdictExists>
        <IsAsirAzir>false</IsAsirAzir>
        <MainAndSecSpec/>
        <IsPublicationProhibited>false</IsPublicationProhibited>
        <PublicationProhibitedFullName>שלומציון גבאי-מנדלמן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אסתר בר-ציון</FullName>
        <FirstName>אסתר</FirstName>
        <LastName>בר-ציון</LastName>
        <PartyPropertyName/>
        <AuthenticationTypeAndNumber>מ.ר. 14711</AuthenticationTypeAndNumber>
        <RepresentatedOrRepresentativesNames>ישי מאיר</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253564696</CasePartyID>
        <PartyTypeID>2</PartyTypeID>
        <ActivityStatusID>1</ActivityStatusID>
        <PartyAliasID>32</PartyAliasID>
        <PartyAliasName>בא כוח נאשמים</PartyAliasName>
        <LegalEntityID>396420</LegalEntityID>
        <CaseLegalEntityID>123693784</CaseLegalEntityID>
        <AuthenticationTypeID>4</AuthenticationTypeID>
        <AuthenticationTypeName>מ.ר.</AuthenticationTypeName>
        <LegalEntityNumber>14711</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ריינס 6 גבעתיים </FullAddress>
        <EmailAddress>esterbarzion@gmail.com</EmailAddress>
        <MotionID>0</MotionID>
        <CasePleaID>0</CasePleaID>
        <FatherName xml:space="preserve">        </FatherName>
        <LinkedCaseID>0</LinkedCaseID>
        <PartyID>2</PartyID>
        <CasePartyCategoryID>2</CasePartyCategoryID>
        <LegalEntityAddressID>439402</LegalEntityAddressID>
        <LegalEntityEmailAddressID>67829480</LegalEntityEmailAddressID>
        <PleaTypeID>8</PleaTypeID>
        <LawyerOfficeName>משרד עו"ד: בר-ציון - אוזן</LawyerOfficeName>
        <LawyerOfficeID>437064</LawyerOfficeID>
        <GroupPartyAlias/>
        <IsConverted>false</IsConverted>
        <LegalEntityNameID>17404</LegalEntityNameID>
        <RepresentatedNamesOfAssistant/>
        <LegalEntityTypeID>4</LegalEntityTypeID>
        <IsVerdictExists>false</IsVerdictExists>
        <IsAsirAzir>false</IsAsirAzir>
        <MainAndSecSpec/>
        <IsPublicationProhibited>false</IsPublicationProhibited>
        <PublicationProhibitedFullName>אסתר בר-ציון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251194210</CasePartyID>
        <PartyTypeID>2</PartyTypeID>
        <ActivityStatusID>1</ActivityStatusID>
        <PartyAliasID>30</PartyAliasID>
        <PartyAliasName>בא כוח מאשימה</PartyAliasName>
        <OrdinalNumber>1</OrdinalNumber>
        <LegalEntityID>398656</LegalEntityID>
        <CaseLegalEntityID>122960900</CaseLegalEntityID>
        <AuthenticationTypeID>4</AuthenticationTypeID>
        <AuthenticationTypeName>מ.ר.</AuthenticationTypeName>
        <LegalEntityNumber>19202</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251194209</CasePartyID>
        <PartyTypeID>1</PartyTypeID>
        <ActivityStatusID>1</ActivityStatusID>
        <PartyAliasID>11</PartyAliasID>
        <PartyAliasName>מאשימה</PartyAliasName>
        <OrdinalNumber>1</OrdinalNumber>
        <LegalEntityID>4</LegalEntityID>
        <CaseLegalEntityID>122960899</CaseLegalEntityID>
        <AuthenticationTypeID>41</AuthenticationTypeID>
        <AuthenticationTypeName>מדינת ישראל </AuthenticationTypeName>
        <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ישי מאיר (אסור בפרסום)</FullName>
        <FirstName>ישי</FirstName>
        <LastName>מאיר</LastName>
        <PartyPropertyID>16</PartyPropertyID>
        <PartyPropertyName/>
        <AuthenticationTypeAndNumber>ת"ז 038948329</AuthenticationTypeAndNumber>
        <RepresentatedOrRepresentativesNames>אסתר בר-ציון, שלומציון גבאי-מנדלמן</RepresentatedOrRepresentativesNames>
        <RepresentatedOrRepresentativesCount>2</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251194211</CasePartyID>
        <PartyTypeID>1</PartyTypeID>
        <ActivityStatusID>1</ActivityStatusID>
        <PartyAliasID>13</PartyAliasID>
        <PartyAliasName>נאשם</PartyAliasName>
        <OrdinalNumber>1</OrdinalNumber>
        <LegalEntityID>75920791</LegalEntityID>
        <CaseLegalEntityID>122960901</CaseLegalEntityID>
        <AuthenticationTypeID>1</AuthenticationTypeID>
        <AuthenticationTypeName>ת"ז</AuthenticationTypeName>
        <LegalEntityNumber>038948329</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MotionID>0</MotionID>
        <CasePleaID>0</CasePleaID>
        <BirthDate>1976-05-30T07:26:51+03:00</BirthDate>
        <FatherName>נתן זאב</FatherName>
        <LinkedCaseID>0</LinkedCaseID>
        <PartyID>2</PartyID>
        <CasePartyCategoryID>2</CasePartyCategoryID>
        <PleaTypeID>8</PleaTypeID>
        <GroupPartyAlias>נאשמים</GroupPartyAlias>
        <IsConverted>false</IsConverted>
        <LegalEntityRegisteredNameID>5861950</LegalEntityRegisteredNameID>
        <LegalEntityNameID>94331911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ישי מאיר (אסור בפרסום)</PublicationProhibitedFullName>
      </CaseParties>
    </CasePartiesSelectionDS>
    <DecisionName>החלטה  שניתנה ע"י  עמי קובו</DecisionName>
    <CourtDisplayName>בית המשפט המחוזי מרכז-לוד</CourtDisplayName>
    <IsCaseJudgePanel>true</IsCaseJudgePanel>
    <DecisionSignatureDate>2024-09-10T10:50:52.9980814+03:00</DecisionSignatureDate>
    <OpenCaseDate>2023-01-29T10:10:00+02:00</OpenCaseDate>
    <ExternalCaseNumber>360103/2022</ExternalCaseNumber>
    <DecisionTypeID>1</DecisionTypeID>
    <DecisionSignatureUserName>עמי קובו</DecisionSignatureUserName>
    <DecisionSignatureDateHebrew>2024-09-10T10:50:52.9980814+03:00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מאיר(אסור בפרסום)</CaseName>
    <DecisionNumberInCase>28</DecisionNumberInCase>
  </dt_Decision>
  <dt_DecisionCase>
    <DecisionID>0</DecisionID>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262734949</CasePartyID>
        <PartyTypeID>3</PartyTypeID>
        <ActivityStatusID>1</ActivityStatusID>
        <LegalEntityID>21034188</LegalEntityID>
        <CaseLegalEntityID>126695576</CaseLegalEntityID>
        <AssistantRoleID>14</AssistantRoleID>
        <AuthenticationTypeID>13</AuthenticationTypeID>
        <AuthenticationTypeName>משרדי ממשלה</AuthenticationTypeName>
        <LegalEntityNumber>570000779</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רבקה שוורץ</FullName>
        <FirstName>רבקה</FirstName>
        <LastName>שוורץ</LastName>
        <PartyPropertyName/>
        <AuthenticationTypeAndNumber>ת"ז 322285784</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272329767</CasePartyID>
        <PartyTypeID>3</PartyTypeID>
        <ActivityStatusID>1</ActivityStatusID>
        <LegalEntityID>80878963</LegalEntityID>
        <CaseLegalEntityID>129532654</CaseLegalEntityID>
        <AssistantRoleID>12</AssistantRoleID>
        <AuthenticationTypeID>1</AuthenticationTypeID>
        <AuthenticationTypeName>ת"ז</AuthenticationTypeName>
        <LegalEntityNumber>322285784</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לוד </FullAddress>
        <MotionID>0</MotionID>
        <CasePleaID>0</CasePleaID>
        <FatherName>יעקב</FatherName>
        <LinkedCaseID>0</LinkedCaseID>
        <PartyID>1</PartyID>
        <CasePartyCategoryID>2</CasePartyCategoryID>
        <LegalEntityAddressID>89503492</LegalEntityAddressID>
        <PleaTypeID>8</PleaTypeID>
        <GroupPartyAlias/>
        <IsConverted>false</IsConverted>
        <LegalEntityRegisteredNameID>10143350</LegalEntityRegisteredNameID>
        <LegalEntityNameID>96808253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שוורץ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אלישבע שוורץ</FullName>
        <FirstName>אלישבע יהודית</FirstName>
        <LastName>שוורץ</LastName>
        <PartyPropertyName/>
        <AuthenticationTypeAndNumber>ת"ז 206435232</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272329908</CasePartyID>
        <PartyTypeID>3</PartyTypeID>
        <ActivityStatusID>1</ActivityStatusID>
        <LegalEntityID>81994200</LegalEntityID>
        <CaseLegalEntityID>129532693</CaseLegalEntityID>
        <AssistantRoleID>12</AssistantRoleID>
        <AuthenticationTypeID>1</AuthenticationTypeID>
        <AuthenticationTypeName>ת"ז</AuthenticationTypeName>
        <LegalEntityNumber>206435232</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סלומונוביץ 890 קריית שמונה </FullAddress>
        <MotionID>0</MotionID>
        <CasePleaID>0</CasePleaID>
        <FatherName>יעקב</FatherName>
        <LinkedCaseID>0</LinkedCaseID>
        <PartyID>1</PartyID>
        <CasePartyCategoryID>2</CasePartyCategoryID>
        <LegalEntityAddressID>89503505</LegalEntityAddressID>
        <PleaTypeID>8</PleaTypeID>
        <GroupPartyAlias/>
        <IsConverted>false</IsConverted>
        <LegalEntityRegisteredNameID>10804574</LegalEntityRegisteredNameID>
        <LegalEntityNameID>96808267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אלישבע שוורץ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תמר שוורץ</FullName>
        <FirstName>תמר צופיה</FirstName>
        <LastName>שוורץ</LastName>
        <PartyPropertyName/>
        <AuthenticationTypeAndNumber>ת"ז 329504856</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272330255</CasePartyID>
        <PartyTypeID>3</PartyTypeID>
        <ActivityStatusID>1</ActivityStatusID>
        <LegalEntityID>81994211</LegalEntityID>
        <CaseLegalEntityID>129532789</CaseLegalEntityID>
        <AssistantRoleID>12</AssistantRoleID>
        <AuthenticationTypeID>1</AuthenticationTypeID>
        <AuthenticationTypeName>ת"ז</AuthenticationTypeName>
        <LegalEntityNumber>329504856</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סלומונוביץ 890 קריית שמונה </FullAddress>
        <MotionID>0</MotionID>
        <CasePleaID>0</CasePleaID>
        <FatherName>יעקב</FatherName>
        <LinkedCaseID>0</LinkedCaseID>
        <PartyID>1</PartyID>
        <CasePartyCategoryID>2</CasePartyCategoryID>
        <LegalEntityAddressID>89503545</LegalEntityAddressID>
        <PleaTypeID>8</PleaTypeID>
        <GroupPartyAlias/>
        <IsConverted>false</IsConverted>
        <LegalEntityRegisteredNameID>10804581</LegalEntityRegisteredNameID>
        <LegalEntityNameID>96808298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שוורץ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זהבה גבלינגר</FullName>
        <FirstName>זהבה יהודית</FirstName>
        <LastName>גבלינגר</LastName>
        <PartyPropertyName/>
        <AuthenticationTypeAndNumber>ת"ז 216368456</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272330415</CasePartyID>
        <PartyTypeID>3</PartyTypeID>
        <ActivityStatusID>1</ActivityStatusID>
        <LegalEntityID>81977265</LegalEntityID>
        <CaseLegalEntityID>129532850</CaseLegalEntityID>
        <AssistantRoleID>12</AssistantRoleID>
        <AuthenticationTypeID>1</AuthenticationTypeID>
        <AuthenticationTypeName>ת"ז</AuthenticationTypeName>
        <LegalEntityNumber>216368456</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ארלוזורוב 13 יהוד-מונוסון </FullAddress>
        <MotionID>0</MotionID>
        <CasePleaID>0</CasePleaID>
        <FatherName>יאיר</FatherName>
        <LinkedCaseID>0</LinkedCaseID>
        <PartyID>1</PartyID>
        <CasePartyCategoryID>2</CasePartyCategoryID>
        <LegalEntityAddressID>89503569</LegalEntityAddressID>
        <PleaTypeID>8</PleaTypeID>
        <GroupPartyAlias/>
        <IsConverted>false</IsConverted>
        <LegalEntityRegisteredNameID>10794650</LegalEntityRegisteredNameID>
        <LegalEntityNameID>96808332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גבלינגר</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272385165</CasePartyID>
        <PartyTypeID>3</PartyTypeID>
        <ActivityStatusID>1</ActivityStatusID>
        <LegalEntityID>74409308</LegalEntityID>
        <CaseLegalEntityID>129550796</CaseLegalEntityID>
        <AssistantRoleID>101</AssistantRoleID>
        <AuthenticationTypeID>13</AuthenticationTypeID>
        <AuthenticationTypeName>משרדי ממשלה</AuthenticationTypeName>
        <LegalEntityNumber>570001686</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שלומציון גבאי-מנדלמן</FullName>
        <FirstName>שלומציון</FirstName>
        <LastName>גבאי-מנדלמן</LastName>
        <PartyPropertyName/>
        <AuthenticationTypeAndNumber>מ.ר. 19372</AuthenticationTypeAndNumber>
        <RepresentatedOrRepresentativesNames>ישי מאיר</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251219459</CasePartyID>
        <PartyTypeID>2</PartyTypeID>
        <ActivityStatusID>1</ActivityStatusID>
        <PartyAliasID>32</PartyAliasID>
        <PartyAliasName>בא כוח נאשמים</PartyAliasName>
        <LegalEntityID>398324</LegalEntityID>
        <CaseLegalEntityID>122968424</CaseLegalEntityID>
        <AuthenticationTypeID>4</AuthenticationTypeID>
        <AuthenticationTypeName>מ.ר.</AuthenticationTypeName>
        <LegalEntityNumber>19372</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ויצמן 2 תל אביב -יפו </FullAddress>
        <MotionID>0</MotionID>
        <CasePleaID>0</CasePleaID>
        <FatherName xml:space="preserve">        </FatherName>
        <LinkedCaseID>0</LinkedCaseID>
        <PartyID>2</PartyID>
        <CasePartyCategoryID>2</CasePartyCategoryID>
        <LegalEntityAddressID>86568040</LegalEntityAddressID>
        <PleaTypeID>8</PleaTypeID>
        <LawyerOfficeName>משרד עו"ד: ש.מנדלמן</LawyerOfficeName>
        <LawyerOfficeID>428370</LawyerOfficeID>
        <GroupPartyAlias/>
        <IsConverted>false</IsConverted>
        <LegalEntityNameID>19308</LegalEntityNameID>
        <RepresentatedNamesOfAssistant/>
        <LegalEntityTypeID>4</LegalEntityTypeID>
        <IsVerdictExists>false</IsVerdictExists>
        <IsAsirAzir>false</IsAsirAzir>
        <MainAndSecSpec/>
        <IsPublicationProhibited>false</IsPublicationProhibited>
        <PublicationProhibitedFullName>שלומציון גבאי-מנדלמן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אסתר בר-ציון</FullName>
        <FirstName>אסתר</FirstName>
        <LastName>בר-ציון</LastName>
        <PartyPropertyName/>
        <AuthenticationTypeAndNumber>מ.ר. 14711</AuthenticationTypeAndNumber>
        <RepresentatedOrRepresentativesNames>ישי מאיר</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253564696</CasePartyID>
        <PartyTypeID>2</PartyTypeID>
        <ActivityStatusID>1</ActivityStatusID>
        <PartyAliasID>32</PartyAliasID>
        <PartyAliasName>בא כוח נאשמים</PartyAliasName>
        <LegalEntityID>396420</LegalEntityID>
        <CaseLegalEntityID>123693784</CaseLegalEntityID>
        <AuthenticationTypeID>4</AuthenticationTypeID>
        <AuthenticationTypeName>מ.ר.</AuthenticationTypeName>
        <LegalEntityNumber>14711</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ריינס 6 גבעתיים </FullAddress>
        <EmailAddress>esterbarzion@gmail.com</EmailAddress>
        <MotionID>0</MotionID>
        <CasePleaID>0</CasePleaID>
        <FatherName xml:space="preserve">        </FatherName>
        <LinkedCaseID>0</LinkedCaseID>
        <PartyID>2</PartyID>
        <CasePartyCategoryID>2</CasePartyCategoryID>
        <LegalEntityAddressID>439402</LegalEntityAddressID>
        <LegalEntityEmailAddressID>67829480</LegalEntityEmailAddressID>
        <PleaTypeID>8</PleaTypeID>
        <LawyerOfficeName>משרד עו"ד: בר-ציון - אוזן</LawyerOfficeName>
        <LawyerOfficeID>437064</LawyerOfficeID>
        <GroupPartyAlias/>
        <IsConverted>false</IsConverted>
        <LegalEntityNameID>17404</LegalEntityNameID>
        <RepresentatedNamesOfAssistant/>
        <LegalEntityTypeID>4</LegalEntityTypeID>
        <IsVerdictExists>false</IsVerdictExists>
        <IsAsirAzir>false</IsAsirAzir>
        <MainAndSecSpec/>
        <IsPublicationProhibited>false</IsPublicationProhibited>
        <PublicationProhibitedFullName>אסתר בר-ציון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251194210</CasePartyID>
        <PartyTypeID>2</PartyTypeID>
        <ActivityStatusID>1</ActivityStatusID>
        <PartyAliasID>30</PartyAliasID>
        <PartyAliasName>בא כוח מאשימה</PartyAliasName>
        <OrdinalNumber>1</OrdinalNumber>
        <LegalEntityID>398656</LegalEntityID>
        <CaseLegalEntityID>122960900</CaseLegalEntityID>
        <AuthenticationTypeID>4</AuthenticationTypeID>
        <AuthenticationTypeName>מ.ר.</AuthenticationTypeName>
        <LegalEntityNumber>19202</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251194209</CasePartyID>
        <PartyTypeID>1</PartyTypeID>
        <ActivityStatusID>1</ActivityStatusID>
        <PartyAliasID>11</PartyAliasID>
        <PartyAliasName>מאשימה</PartyAliasName>
        <OrdinalNumber>1</OrdinalNumber>
        <LegalEntityID>4</LegalEntityID>
        <CaseLegalEntityID>122960899</CaseLegalEntityID>
        <AuthenticationTypeID>41</AuthenticationTypeID>
        <AuthenticationTypeName>מדינת ישראל </AuthenticationTypeName>
        <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ישי מאיר (אסור בפרסום)</FullName>
        <FirstName>ישי</FirstName>
        <LastName>מאיר</LastName>
        <PartyPropertyID>16</PartyPropertyID>
        <PartyPropertyName/>
        <AuthenticationTypeAndNumber>ת"ז 038948329</AuthenticationTypeAndNumber>
        <RepresentatedOrRepresentativesNames>אסתר בר-ציון, שלומציון גבאי-מנדלמן</RepresentatedOrRepresentativesNames>
        <RepresentatedOrRepresentativesCount>2</RepresentatedOrRepresentativesCount>
        <InvitedBy/>
        <CaseID>79956225</CaseID>
        <CaseJudicialPersonPresentationDS>
          <CaseJudicalPersonActive>
            <CaseID>79956225</CaseID>
            <JudicialPersonID>054586292@GOV.IL</JudicialPersonID>
            <JudicialPersonTypeID>1</JudicialPersonTypeID>
            <JudicialTypeID>3</JudicialTypeID>
            <IsChairman>true</IsChairman>
            <TreatmentStartDate>2023-01-29T13:47:15.65+02:00</TreatmentStartDate>
            <TreatmentFinishDate>9999-12-31T23:59:59.997+02:00</TreatmentFinishDate>
            <IdentificationCardNumber>054586292</IdentificationCardNumber>
            <DisplayName>רות לורך</DisplayName>
            <JudicialTypeName>הרכב שופטים</JudicialTypeName>
            <CaseJudicialGroupNumber>526510</CaseJudicialGroupNumber>
            <FirstName>רות</FirstName>
            <LastName>לורך</LastName>
            <JudicialPersonTitle>שופט</JudicialPersonTitle>
          </CaseJudicalPersonActive>
          <CaseJudicalPersonActive>
            <CaseID>79956225</CaseID>
            <JudicialPersonID>056593841@GOV.IL</JudicialPersonID>
            <JudicialPersonTypeID>1</JudicialPersonTypeID>
            <JudicialTypeID>3</JudicialTypeID>
            <IsChairman>false</IsChairman>
            <TreatmentStartDate>2023-01-29T13:47:15.65+02:00</TreatmentStartDate>
            <TreatmentFinishDate>9999-12-31T23:59:59.997+02:00</TreatmentFinishDate>
            <IdentificationCardNumber>056593841</IdentificationCardNumber>
            <DisplayName>דבורה עטר</DisplayName>
            <JudicialTypeName>הרכב שופטים</JudicialTypeName>
            <CaseJudicialGroupNumber>526510</CaseJudicialGroupNumber>
            <FirstName>דבורה</FirstName>
            <LastName>עטר</LastName>
            <JudicialPersonTitle>שופט</JudicialPersonTitle>
          </CaseJudicalPersonActive>
          <CaseJudicalPersonActive>
            <CaseID>79956225</CaseID>
            <JudicialPersonID>029737269@GOV.IL</JudicialPersonID>
            <JudicialPersonTypeID>1</JudicialPersonTypeID>
            <JudicialTypeID>3</JudicialTypeID>
            <IsChairman>false</IsChairman>
            <TreatmentStartDate>2023-01-29T13:47:15.65+02:00</TreatmentStartDate>
            <TreatmentFinishDate>9999-12-31T23:59:59.997+02:00</TreatmentFinishDate>
            <IdentificationCardNumber>029737269</IdentificationCardNumber>
            <DisplayName>עמי קובו</DisplayName>
            <JudicialTypeName>הרכב שופטים</JudicialTypeName>
            <CaseJudicialGroupNumber>526510</CaseJudicialGroupNumber>
            <FirstName>עמי</FirstName>
            <LastName>קובו</LastName>
            <JudicialPersonTitle>שופט</JudicialPersonTitle>
          </CaseJudicalPersonActive>
        </CaseJudicialPersonPresentationDS>
        <CasePartyID>251194211</CasePartyID>
        <PartyTypeID>1</PartyTypeID>
        <ActivityStatusID>1</ActivityStatusID>
        <PartyAliasID>13</PartyAliasID>
        <PartyAliasName>נאשם</PartyAliasName>
        <OrdinalNumber>1</OrdinalNumber>
        <LegalEntityID>75920791</LegalEntityID>
        <CaseLegalEntityID>122960901</CaseLegalEntityID>
        <AuthenticationTypeID>1</AuthenticationTypeID>
        <AuthenticationTypeName>ת"ז</AuthenticationTypeName>
        <LegalEntityNumber>038948329</LegalEntityNumber>
        <IsMainPartyType>true</IsMainPartyType>
        <CaseDisplayIdentifier>69405-01-23</CaseDisplayIdentifier>
        <CaseTypeID>10284</CaseTypeID>
        <CaseTypeName>תיק פלילי פשע חמור עדות קטין נפגע עבירה (תפח"ע)</CaseTypeName>
        <CaseName>מדינת ישראל נ' מאיר(אסור בפרסום)</CaseName>
        <FullAddress/>
        <MotionID>0</MotionID>
        <CasePleaID>0</CasePleaID>
        <BirthDate>1976-05-30T07:26:51+03:00</BirthDate>
        <FatherName>נתן זאב</FatherName>
        <LinkedCaseID>0</LinkedCaseID>
        <PartyID>2</PartyID>
        <CasePartyCategoryID>2</CasePartyCategoryID>
        <PleaTypeID>8</PleaTypeID>
        <GroupPartyAlias>נאשמים</GroupPartyAlias>
        <IsConverted>false</IsConverted>
        <LegalEntityRegisteredNameID>5861950</LegalEntityRegisteredNameID>
        <LegalEntityNameID>94331911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ישי מאיר (אסור בפרסום)</PublicationProhibitedFullName>
      </CaseParties>
    </CasePartiesSelectionDS>
    <CaseName>מדינת ישראל נ' מאיר(אסור בפרסום)</CaseName>
    <CaseDisplayIdentifier>69405-01-23</CaseDisplayIdentifier>
    <CaseTypeShortName>תפח"ע</CaseTypeShortName>
  </dt_DecisionCase>
  <dt_DecisionJudgePanel>
    <JudgeID>054586292@GOV.IL</JudgeID>
    <DisplayName>לורך</DisplayName>
    <RoleName>שופט</RoleName>
    <UserTitleName>שופטת - נשיאה</UserTitleName>
  </dt_DecisionJudgePanel>
  <dt_DecisionJudgePanel>
    <JudgeID>056593841@GOV.IL</JudgeID>
    <DisplayName>עטר</DisplayName>
    <RoleName>שופט</RoleName>
    <UserTitleName>שופטת</UserTitleName>
  </dt_DecisionJudgePanel>
  <dt_DecisionJudgePanel>
    <JudgeID>029737269@GOV.IL</JudgeID>
    <DisplayName>קובו</DisplayName>
    <RoleName>שופט</RoleName>
    <UserTitleName>שופט, סגן הנשיאה</UserTitleName>
  </dt_DecisionJudgePanel>
  <dt_LegalEntityDetails>
    <Fax>03-6960966</Fax>
    <Phone>03-6966242</Phone>
    <AddressDesc/>
    <PartyID>2</PartyID>
    <PartyTypeID>2</PartyTypeID>
    <DecisionID>0</DecisionID>
    <StreetName>ויצמן 2</StreetName>
    <ZipCode>6423902</ZipCode>
    <CityName>תל אביב -יפו</CityName>
    <FullName>שלומציון גבאי-מנדלמן</FullName>
    <IsPublicationProhibited>false</IsPublicationProhibited>
  </dt_LegalEntityDetails>
  <dt_LegalEntityDetails>
    <Fax>03-5739450</Fax>
    <Phone>03-5739373</Phone>
    <PartyID>2</PartyID>
    <PartyTypeID>2</PartyTypeID>
    <DecisionID>0</DecisionID>
    <StreetName>ריינס 6</StreetName>
    <ZipCode>53460</ZipCode>
    <CityName>גבעתיים</CityName>
    <FullName>אסתר בר-ציון</FullName>
    <Email>esterbarzion@gmail.com</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Fax/>
    <Phone/>
    <AddressDesc/>
    <PartyID>1</PartyID>
    <PartyTypeID>3</PartyTypeID>
    <DecisionID>0</DecisionID>
    <AssistantRoleID>12</AssistantRoleID>
    <StreetName>.</StreetName>
    <CityName>לוד</CityName>
    <FullName>רבקה  שוורץ</FullName>
    <Email/>
    <IsPublicationProhibited>false</IsPublicationProhibited>
  </dt_LegalEntityDetails>
  <dt_LegalEntityDetails>
    <Fax/>
    <Phone/>
    <AddressDesc/>
    <PartyID>1</PartyID>
    <PartyTypeID>3</PartyTypeID>
    <DecisionID>0</DecisionID>
    <AssistantRoleID>12</AssistantRoleID>
    <StreetName>סלומונוביץ 890</StreetName>
    <CityName>קריית שמונה</CityName>
    <FullName>אלישבע שוורץ </FullName>
    <Email/>
    <IsPublicationProhibited>false</IsPublicationProhibited>
  </dt_LegalEntityDetails>
  <dt_LegalEntityDetails>
    <Fax/>
    <Phone/>
    <AddressDesc/>
    <PartyID>1</PartyID>
    <PartyTypeID>3</PartyTypeID>
    <DecisionID>0</DecisionID>
    <AssistantRoleID>12</AssistantRoleID>
    <StreetName>סלומונוביץ 890</StreetName>
    <CityName>קריית שמונה</CityName>
    <FullName>תמר שוורץ </FullName>
    <Email/>
    <IsPublicationProhibited>false</IsPublicationProhibited>
  </dt_LegalEntityDetails>
  <dt_LegalEntityDetails>
    <Fax/>
    <Phone/>
    <AddressDesc/>
    <PartyID>1</PartyID>
    <PartyTypeID>3</PartyTypeID>
    <DecisionID>0</DecisionID>
    <AssistantRoleID>12</AssistantRoleID>
    <StreetName>ארלוזורוב 13 </StreetName>
    <CityName>יהוד-מונוסון</CityName>
    <FullName>זהבה  גבלינגר </FullName>
    <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FullName>ישי מאיר</FullName>
    <IsPublicationProhibited>false</IsPublicationProhibited>
  </dt_LegalEntityDetails>
  <dt_CaseJudicalPersonActive>
    <CaseJudicalPerson>שופטת - נשיאה רות לורך, שופטת דבורה עטר, שופט, סגן הנשיאה עמי קובו</CaseJudicalPerson>
  </dt_CaseJudicalPersonActive>
  <dt_Sitting>
    <PreviousMeetingDate>2024-07-01T09:00:00+03:00</PreviousMeetingDate>
    <PreviousSittingTypeID>15</PreviousSittingTypeID>
    <PreviousMeetingDisplayName>רות לורך, דבורה עטר, עמי קובו</PreviousMeetingDisplayName>
    <PreviousMeetingUserUPN>029737269@GOV.IL, 054586292@GOV.IL, 056593841@GOV.IL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25143-D619-4381-81A3-03F60DDF250E}">
  <ds:schemaRefs/>
</ds:datastoreItem>
</file>

<file path=customXml/itemProps2.xml><?xml version="1.0" encoding="utf-8"?>
<ds:datastoreItem xmlns:ds="http://schemas.openxmlformats.org/officeDocument/2006/customXml" ds:itemID="{3C512F7A-629C-49F0-9B8A-3AB4D01F6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4541</Words>
  <Characters>22706</Characters>
  <Application>Microsoft Office Word</Application>
  <DocSecurity>0</DocSecurity>
  <Lines>189</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2024-09-18T10:38:00Z</dcterms:created>
  <dcterms:modified xsi:type="dcterms:W3CDTF">2024-09-18T10:38:00Z</dcterms:modified>
</cp:coreProperties>
</file>